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AC1" w:rsidRDefault="00147BCE">
      <w:r>
        <w:rPr>
          <w:noProof/>
        </w:rPr>
        <mc:AlternateContent>
          <mc:Choice Requires="wps">
            <w:drawing>
              <wp:anchor distT="0" distB="0" distL="114300" distR="114300" simplePos="0" relativeHeight="251658240" behindDoc="0" locked="0" layoutInCell="1" allowOverlap="1">
                <wp:simplePos x="0" y="0"/>
                <wp:positionH relativeFrom="column">
                  <wp:posOffset>-633981</wp:posOffset>
                </wp:positionH>
                <wp:positionV relativeFrom="paragraph">
                  <wp:posOffset>-27925</wp:posOffset>
                </wp:positionV>
                <wp:extent cx="5391682" cy="7527851"/>
                <wp:effectExtent l="0" t="0" r="19050" b="1651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682" cy="7527851"/>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C0C0C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47BCE" w:rsidRDefault="00147BCE" w:rsidP="00147BCE">
                            <w:pPr>
                              <w:ind w:right="62"/>
                              <w:jc w:val="center"/>
                              <w:rPr>
                                <w:rFonts w:ascii="Arial" w:hAnsi="Arial" w:cs="Arial"/>
                                <w:sz w:val="2"/>
                                <w:szCs w:val="2"/>
                              </w:rPr>
                            </w:pPr>
                          </w:p>
                          <w:p w:rsidR="00147BCE" w:rsidRPr="00965784" w:rsidRDefault="00147BCE" w:rsidP="00147BCE">
                            <w:pPr>
                              <w:ind w:right="160"/>
                              <w:jc w:val="center"/>
                              <w:rPr>
                                <w:rFonts w:ascii="Arial" w:hAnsi="Arial" w:cs="Arial"/>
                                <w:b/>
                                <w:sz w:val="20"/>
                                <w:szCs w:val="20"/>
                              </w:rPr>
                            </w:pPr>
                            <w:r w:rsidRPr="00965784">
                              <w:rPr>
                                <w:rFonts w:ascii="Arial" w:hAnsi="Arial" w:cs="Arial"/>
                                <w:b/>
                                <w:sz w:val="20"/>
                                <w:szCs w:val="20"/>
                              </w:rPr>
                              <w:t>T.C.</w:t>
                            </w:r>
                          </w:p>
                          <w:p w:rsidR="00147BCE" w:rsidRPr="00965784" w:rsidRDefault="00147BCE" w:rsidP="00147BCE">
                            <w:pPr>
                              <w:spacing w:after="0" w:line="240" w:lineRule="auto"/>
                              <w:ind w:right="159"/>
                              <w:jc w:val="center"/>
                              <w:rPr>
                                <w:rFonts w:ascii="Arial" w:hAnsi="Arial" w:cs="Arial"/>
                                <w:b/>
                                <w:sz w:val="20"/>
                                <w:szCs w:val="20"/>
                              </w:rPr>
                            </w:pPr>
                            <w:bookmarkStart w:id="0" w:name="_GoBack"/>
                            <w:r>
                              <w:rPr>
                                <w:rFonts w:ascii="Arial" w:hAnsi="Arial" w:cs="Arial"/>
                                <w:b/>
                                <w:sz w:val="20"/>
                                <w:szCs w:val="20"/>
                              </w:rPr>
                              <w:t>PINARHİSAR</w:t>
                            </w:r>
                          </w:p>
                          <w:p w:rsidR="00147BCE" w:rsidRDefault="00147BCE" w:rsidP="00147BCE">
                            <w:pPr>
                              <w:spacing w:after="0" w:line="240" w:lineRule="auto"/>
                              <w:ind w:right="159"/>
                              <w:jc w:val="center"/>
                              <w:rPr>
                                <w:rFonts w:ascii="Arial" w:hAnsi="Arial" w:cs="Arial"/>
                                <w:b/>
                                <w:sz w:val="20"/>
                                <w:szCs w:val="20"/>
                              </w:rPr>
                            </w:pPr>
                            <w:r>
                              <w:rPr>
                                <w:rFonts w:ascii="Arial" w:hAnsi="Arial" w:cs="Arial"/>
                                <w:b/>
                                <w:sz w:val="20"/>
                                <w:szCs w:val="20"/>
                              </w:rPr>
                              <w:t>İCRA DAİRESİ</w:t>
                            </w:r>
                          </w:p>
                          <w:p w:rsidR="00147BCE" w:rsidRDefault="00147BCE" w:rsidP="00147BCE">
                            <w:pPr>
                              <w:spacing w:after="0" w:line="240" w:lineRule="auto"/>
                              <w:ind w:right="159"/>
                              <w:jc w:val="center"/>
                              <w:rPr>
                                <w:rFonts w:ascii="Arial" w:hAnsi="Arial" w:cs="Arial"/>
                                <w:b/>
                                <w:sz w:val="20"/>
                                <w:szCs w:val="20"/>
                              </w:rPr>
                            </w:pPr>
                            <w:r w:rsidRPr="00965784">
                              <w:rPr>
                                <w:rFonts w:ascii="Arial" w:hAnsi="Arial" w:cs="Arial"/>
                                <w:b/>
                                <w:sz w:val="20"/>
                                <w:szCs w:val="20"/>
                              </w:rPr>
                              <w:t>201</w:t>
                            </w:r>
                            <w:r>
                              <w:rPr>
                                <w:rFonts w:ascii="Arial" w:hAnsi="Arial" w:cs="Arial"/>
                                <w:b/>
                                <w:sz w:val="20"/>
                                <w:szCs w:val="20"/>
                              </w:rPr>
                              <w:t>7/26 TLMT.</w:t>
                            </w:r>
                          </w:p>
                          <w:bookmarkEnd w:id="0"/>
                          <w:p w:rsidR="00147BCE" w:rsidRPr="00D87615" w:rsidRDefault="00147BCE" w:rsidP="00147BCE">
                            <w:pPr>
                              <w:ind w:right="160"/>
                              <w:jc w:val="center"/>
                              <w:rPr>
                                <w:rFonts w:ascii="Arial" w:hAnsi="Arial" w:cs="Arial"/>
                                <w:sz w:val="44"/>
                                <w:szCs w:val="44"/>
                              </w:rPr>
                            </w:pPr>
                            <w:r w:rsidRPr="00D87615">
                              <w:rPr>
                                <w:rFonts w:ascii="Arial" w:hAnsi="Arial" w:cs="Arial"/>
                                <w:sz w:val="44"/>
                                <w:szCs w:val="44"/>
                              </w:rPr>
                              <w:t>TAŞINIRIN AÇIK ARTIRMA İLANI</w:t>
                            </w:r>
                          </w:p>
                          <w:p w:rsidR="00147BCE" w:rsidRPr="00D9043A" w:rsidRDefault="00147BCE" w:rsidP="00147BCE">
                            <w:pPr>
                              <w:pStyle w:val="Gvdemetni20"/>
                              <w:shd w:val="clear" w:color="auto" w:fill="auto"/>
                              <w:spacing w:after="0" w:line="240" w:lineRule="auto"/>
                              <w:ind w:firstLine="822"/>
                              <w:rPr>
                                <w:rFonts w:ascii="Arial" w:hAnsi="Arial" w:cs="Arial"/>
                                <w:sz w:val="20"/>
                                <w:szCs w:val="20"/>
                              </w:rPr>
                            </w:pPr>
                            <w:r w:rsidRPr="00D9043A">
                              <w:rPr>
                                <w:rFonts w:ascii="Arial" w:hAnsi="Arial" w:cs="Arial"/>
                                <w:color w:val="000000"/>
                                <w:sz w:val="20"/>
                                <w:szCs w:val="20"/>
                                <w:lang w:eastAsia="tr-TR" w:bidi="tr-TR"/>
                              </w:rPr>
                              <w:t>Aşağıda cins, miktar ve değerleri yazılı mallar satışa çıkarılmış olup:</w:t>
                            </w:r>
                          </w:p>
                          <w:p w:rsidR="00147BCE" w:rsidRPr="00D9043A" w:rsidRDefault="00147BCE" w:rsidP="00147BCE">
                            <w:pPr>
                              <w:pStyle w:val="Gvdemetni20"/>
                              <w:shd w:val="clear" w:color="auto" w:fill="auto"/>
                              <w:spacing w:after="0" w:line="240" w:lineRule="auto"/>
                              <w:ind w:firstLine="822"/>
                              <w:rPr>
                                <w:rFonts w:ascii="Arial" w:hAnsi="Arial" w:cs="Arial"/>
                                <w:sz w:val="20"/>
                                <w:szCs w:val="20"/>
                              </w:rPr>
                            </w:pPr>
                            <w:r w:rsidRPr="00D9043A">
                              <w:rPr>
                                <w:rFonts w:ascii="Arial" w:hAnsi="Arial" w:cs="Arial"/>
                                <w:color w:val="000000"/>
                                <w:sz w:val="20"/>
                                <w:szCs w:val="20"/>
                                <w:lang w:eastAsia="tr-TR" w:bidi="tr-TR"/>
                              </w:rPr>
                              <w:t xml:space="preserve">Birinci artırmanın aşağıda belirtilen gün, saat ve yerde yapılacağı ve o gün kıymetlerinin %50'sine istekli bulunmadığı taktirde, yine aşağıda belirtilen gün, saat ve aynı yerde 2. artırmanın yapılarak satılacağı; şu kadar ki, artırma bedelinin malın tahmin edilen değerinin %50'sini bulmasının ve satış isteyenin alacağına rüçhanı olan alacakların toplamından fazla olmasının ve bundan başka paraya çevirme ve payların paylaştırma giderlerini geçmesinin şart olduğu; birinci artırmadan on gün önce başlamak üzere artırma tarihinden önceki gün sonuna kadar </w:t>
                            </w:r>
                            <w:r w:rsidRPr="00D9043A">
                              <w:rPr>
                                <w:rStyle w:val="Gvdemetni2Kaln"/>
                                <w:rFonts w:ascii="Arial" w:eastAsiaTheme="minorHAnsi" w:hAnsi="Arial" w:cs="Arial"/>
                              </w:rPr>
                              <w:t xml:space="preserve">esatis.uyap.gov.tr </w:t>
                            </w:r>
                            <w:r w:rsidRPr="00D9043A">
                              <w:rPr>
                                <w:rFonts w:ascii="Arial" w:hAnsi="Arial" w:cs="Arial"/>
                                <w:color w:val="000000"/>
                                <w:sz w:val="20"/>
                                <w:szCs w:val="20"/>
                                <w:lang w:eastAsia="tr-TR" w:bidi="tr-TR"/>
                              </w:rPr>
                              <w:t>adresinden elektronik ortamda teklif verilebileceği, birinci artırmada istekli bulunmadığı takdirde elektronik ortamda birinci artırmadan sonraki beşinci günden başlamak üzere ikinci artırma gününden önceki gün sonuna kadar elektronik ortamda teklif verilebileceği, mahcuzun satış bedeli üzerinden aşağıda belirtilen oranda KDV.'</w:t>
                            </w:r>
                            <w:proofErr w:type="spellStart"/>
                            <w:r w:rsidRPr="00D9043A">
                              <w:rPr>
                                <w:rFonts w:ascii="Arial" w:hAnsi="Arial" w:cs="Arial"/>
                                <w:color w:val="000000"/>
                                <w:sz w:val="20"/>
                                <w:szCs w:val="20"/>
                                <w:lang w:eastAsia="tr-TR" w:bidi="tr-TR"/>
                              </w:rPr>
                              <w:t>nin</w:t>
                            </w:r>
                            <w:proofErr w:type="spellEnd"/>
                            <w:r w:rsidRPr="00D9043A">
                              <w:rPr>
                                <w:rFonts w:ascii="Arial" w:hAnsi="Arial" w:cs="Arial"/>
                                <w:color w:val="000000"/>
                                <w:sz w:val="20"/>
                                <w:szCs w:val="20"/>
                                <w:lang w:eastAsia="tr-TR" w:bidi="tr-TR"/>
                              </w:rPr>
                              <w:t xml:space="preserve"> alıcıya ait olacağı ve satış şartnamesinin icra dosyasından görülebileceği; gideri verildiği takdirde şartnamenin bir örneğinin isteyene gönderilebileceği; fazla bilgi almak isteyenlerin yukarıda yazılı dosya numarasıyla dairemize başvurmaları ilan olunur. 08/08/2017</w:t>
                            </w:r>
                          </w:p>
                          <w:p w:rsidR="00147BCE" w:rsidRDefault="00147BCE" w:rsidP="00147BCE">
                            <w:pPr>
                              <w:pStyle w:val="Gvdemetni21"/>
                              <w:shd w:val="clear" w:color="auto" w:fill="auto"/>
                              <w:spacing w:before="0" w:after="0" w:line="240" w:lineRule="auto"/>
                              <w:ind w:right="1360"/>
                              <w:jc w:val="center"/>
                              <w:rPr>
                                <w:b/>
                                <w:sz w:val="2"/>
                                <w:szCs w:val="2"/>
                              </w:rPr>
                            </w:pPr>
                            <w:r w:rsidRPr="00C03BEE">
                              <w:rPr>
                                <w:rFonts w:ascii="Arial" w:hAnsi="Arial" w:cs="Arial"/>
                                <w:sz w:val="20"/>
                                <w:szCs w:val="20"/>
                              </w:rPr>
                              <w:tab/>
                            </w:r>
                            <w:r w:rsidRPr="00C03BEE">
                              <w:rPr>
                                <w:rFonts w:ascii="Arial" w:hAnsi="Arial" w:cs="Arial"/>
                                <w:sz w:val="20"/>
                                <w:szCs w:val="20"/>
                              </w:rPr>
                              <w:tab/>
                            </w:r>
                            <w:r w:rsidRPr="00C03BEE">
                              <w:rPr>
                                <w:rFonts w:ascii="Arial" w:hAnsi="Arial" w:cs="Arial"/>
                                <w:sz w:val="20"/>
                                <w:szCs w:val="20"/>
                              </w:rPr>
                              <w:tab/>
                            </w:r>
                            <w:r w:rsidRPr="00C03BEE">
                              <w:rPr>
                                <w:rFonts w:ascii="Arial" w:hAnsi="Arial" w:cs="Arial"/>
                                <w:sz w:val="20"/>
                                <w:szCs w:val="20"/>
                              </w:rPr>
                              <w:tab/>
                            </w:r>
                            <w:r w:rsidRPr="00C03BE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Celil BİRCAN</w:t>
                            </w:r>
                            <w:r w:rsidRPr="00D87615">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İcra Müdürü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110410</w:t>
                            </w:r>
                          </w:p>
                          <w:tbl>
                            <w:tblPr>
                              <w:tblOverlap w:val="never"/>
                              <w:tblW w:w="11486" w:type="dxa"/>
                              <w:jc w:val="center"/>
                              <w:tblLayout w:type="fixed"/>
                              <w:tblCellMar>
                                <w:left w:w="10" w:type="dxa"/>
                                <w:right w:w="10" w:type="dxa"/>
                              </w:tblCellMar>
                              <w:tblLook w:val="04A0" w:firstRow="1" w:lastRow="0" w:firstColumn="1" w:lastColumn="0" w:noHBand="0" w:noVBand="1"/>
                            </w:tblPr>
                            <w:tblGrid>
                              <w:gridCol w:w="906"/>
                              <w:gridCol w:w="1417"/>
                              <w:gridCol w:w="709"/>
                              <w:gridCol w:w="992"/>
                              <w:gridCol w:w="7462"/>
                            </w:tblGrid>
                            <w:tr w:rsidR="00147BCE" w:rsidTr="004F5D8D">
                              <w:tblPrEx>
                                <w:tblCellMar>
                                  <w:top w:w="0" w:type="dxa"/>
                                  <w:bottom w:w="0" w:type="dxa"/>
                                </w:tblCellMar>
                              </w:tblPrEx>
                              <w:trPr>
                                <w:trHeight w:hRule="exact" w:val="736"/>
                                <w:jc w:val="center"/>
                              </w:trPr>
                              <w:tc>
                                <w:tcPr>
                                  <w:tcW w:w="11486" w:type="dxa"/>
                                  <w:gridSpan w:val="5"/>
                                  <w:tcBorders>
                                    <w:top w:val="single" w:sz="4" w:space="0" w:color="auto"/>
                                    <w:left w:val="single" w:sz="4" w:space="0" w:color="auto"/>
                                    <w:right w:val="single" w:sz="4" w:space="0" w:color="auto"/>
                                  </w:tcBorders>
                                  <w:shd w:val="clear" w:color="auto" w:fill="FFFFFF"/>
                                  <w:vAlign w:val="bottom"/>
                                </w:tcPr>
                                <w:p w:rsidR="00147BCE" w:rsidRPr="00855B75" w:rsidRDefault="00147BCE" w:rsidP="004F5D8D">
                                  <w:pPr>
                                    <w:pStyle w:val="Gvdemetni20"/>
                                    <w:shd w:val="clear" w:color="auto" w:fill="auto"/>
                                    <w:tabs>
                                      <w:tab w:val="left" w:pos="134"/>
                                    </w:tabs>
                                    <w:spacing w:after="0" w:line="240" w:lineRule="auto"/>
                                    <w:ind w:firstLine="0"/>
                                    <w:rPr>
                                      <w:rFonts w:ascii="Arial" w:hAnsi="Arial" w:cs="Arial"/>
                                      <w:sz w:val="20"/>
                                      <w:szCs w:val="20"/>
                                    </w:rPr>
                                  </w:pPr>
                                  <w:r w:rsidRPr="00855B75">
                                    <w:rPr>
                                      <w:rStyle w:val="Gvdemetni2Kaln"/>
                                      <w:rFonts w:ascii="Arial" w:eastAsiaTheme="minorHAnsi" w:hAnsi="Arial" w:cs="Arial"/>
                                    </w:rPr>
                                    <w:t xml:space="preserve">1-İhale </w:t>
                                  </w:r>
                                  <w:proofErr w:type="gramStart"/>
                                  <w:r w:rsidRPr="00855B75">
                                    <w:rPr>
                                      <w:rStyle w:val="Gvdemetni2Kaln"/>
                                      <w:rFonts w:ascii="Arial" w:eastAsiaTheme="minorHAnsi" w:hAnsi="Arial" w:cs="Arial"/>
                                    </w:rPr>
                                    <w:t xml:space="preserve">Tarihi </w:t>
                                  </w:r>
                                  <w:r w:rsidRPr="00855B75">
                                    <w:rPr>
                                      <w:rFonts w:ascii="Arial" w:hAnsi="Arial" w:cs="Arial"/>
                                      <w:sz w:val="20"/>
                                      <w:szCs w:val="20"/>
                                    </w:rPr>
                                    <w:t>:</w:t>
                                  </w:r>
                                  <w:proofErr w:type="gramEnd"/>
                                  <w:r w:rsidRPr="00855B75">
                                    <w:rPr>
                                      <w:rFonts w:ascii="Arial" w:hAnsi="Arial" w:cs="Arial"/>
                                      <w:sz w:val="20"/>
                                      <w:szCs w:val="20"/>
                                    </w:rPr>
                                    <w:t xml:space="preserve"> </w:t>
                                  </w:r>
                                  <w:r w:rsidRPr="00855B75">
                                    <w:rPr>
                                      <w:rStyle w:val="Gvdemetni2Kaln"/>
                                      <w:rFonts w:ascii="Arial" w:eastAsiaTheme="minorHAnsi" w:hAnsi="Arial" w:cs="Arial"/>
                                    </w:rPr>
                                    <w:t xml:space="preserve">07/09/2017 günü, saat 11:00 </w:t>
                                  </w:r>
                                  <w:r w:rsidRPr="00855B75">
                                    <w:rPr>
                                      <w:rFonts w:ascii="Arial" w:hAnsi="Arial" w:cs="Arial"/>
                                      <w:sz w:val="20"/>
                                      <w:szCs w:val="20"/>
                                    </w:rPr>
                                    <w:t xml:space="preserve">- </w:t>
                                  </w:r>
                                  <w:r w:rsidRPr="00855B75">
                                    <w:rPr>
                                      <w:rStyle w:val="Gvdemetni2Kaln"/>
                                      <w:rFonts w:ascii="Arial" w:eastAsiaTheme="minorHAnsi" w:hAnsi="Arial" w:cs="Arial"/>
                                    </w:rPr>
                                    <w:t>11:05 arası.</w:t>
                                  </w:r>
                                </w:p>
                                <w:p w:rsidR="00147BCE" w:rsidRPr="00855B75" w:rsidRDefault="00147BCE" w:rsidP="004F5D8D">
                                  <w:pPr>
                                    <w:pStyle w:val="Gvdemetni20"/>
                                    <w:widowControl w:val="0"/>
                                    <w:shd w:val="clear" w:color="auto" w:fill="auto"/>
                                    <w:tabs>
                                      <w:tab w:val="left" w:pos="149"/>
                                    </w:tabs>
                                    <w:spacing w:after="0" w:line="240" w:lineRule="auto"/>
                                    <w:ind w:firstLine="0"/>
                                    <w:rPr>
                                      <w:rStyle w:val="Gvdemetni2Kaln"/>
                                      <w:rFonts w:ascii="Arial" w:eastAsiaTheme="minorHAnsi" w:hAnsi="Arial" w:cs="Arial"/>
                                      <w:b w:val="0"/>
                                      <w:bCs w:val="0"/>
                                    </w:rPr>
                                  </w:pPr>
                                  <w:r>
                                    <w:rPr>
                                      <w:rStyle w:val="Gvdemetni2Kaln"/>
                                      <w:rFonts w:ascii="Arial" w:eastAsiaTheme="minorHAnsi" w:hAnsi="Arial" w:cs="Arial"/>
                                    </w:rPr>
                                    <w:t>2-</w:t>
                                  </w:r>
                                  <w:r w:rsidRPr="00855B75">
                                    <w:rPr>
                                      <w:rStyle w:val="Gvdemetni2Kaln"/>
                                      <w:rFonts w:ascii="Arial" w:eastAsiaTheme="minorHAnsi" w:hAnsi="Arial" w:cs="Arial"/>
                                    </w:rPr>
                                    <w:t xml:space="preserve">İhale </w:t>
                                  </w:r>
                                  <w:proofErr w:type="gramStart"/>
                                  <w:r w:rsidRPr="00855B75">
                                    <w:rPr>
                                      <w:rStyle w:val="Gvdemetni2Kaln"/>
                                      <w:rFonts w:ascii="Arial" w:eastAsiaTheme="minorHAnsi" w:hAnsi="Arial" w:cs="Arial"/>
                                    </w:rPr>
                                    <w:t xml:space="preserve">Tarihi </w:t>
                                  </w:r>
                                  <w:r w:rsidRPr="00855B75">
                                    <w:rPr>
                                      <w:rFonts w:ascii="Arial" w:hAnsi="Arial" w:cs="Arial"/>
                                      <w:sz w:val="20"/>
                                      <w:szCs w:val="20"/>
                                    </w:rPr>
                                    <w:t>:</w:t>
                                  </w:r>
                                  <w:proofErr w:type="gramEnd"/>
                                  <w:r w:rsidRPr="00855B75">
                                    <w:rPr>
                                      <w:rFonts w:ascii="Arial" w:hAnsi="Arial" w:cs="Arial"/>
                                      <w:sz w:val="20"/>
                                      <w:szCs w:val="20"/>
                                    </w:rPr>
                                    <w:t xml:space="preserve"> </w:t>
                                  </w:r>
                                  <w:r w:rsidRPr="00855B75">
                                    <w:rPr>
                                      <w:rStyle w:val="Gvdemetni2Kaln"/>
                                      <w:rFonts w:ascii="Arial" w:eastAsiaTheme="minorHAnsi" w:hAnsi="Arial" w:cs="Arial"/>
                                    </w:rPr>
                                    <w:t>26/09/2017 günü, saat 11:00 - 11:05 arası.</w:t>
                                  </w:r>
                                </w:p>
                                <w:p w:rsidR="00147BCE" w:rsidRPr="00855B75" w:rsidRDefault="00147BCE" w:rsidP="004F5D8D">
                                  <w:pPr>
                                    <w:pStyle w:val="Gvdemetni20"/>
                                    <w:widowControl w:val="0"/>
                                    <w:shd w:val="clear" w:color="auto" w:fill="auto"/>
                                    <w:tabs>
                                      <w:tab w:val="left" w:pos="149"/>
                                    </w:tabs>
                                    <w:spacing w:after="0" w:line="240" w:lineRule="auto"/>
                                    <w:ind w:firstLine="0"/>
                                    <w:rPr>
                                      <w:rFonts w:ascii="Arial" w:hAnsi="Arial" w:cs="Arial"/>
                                      <w:sz w:val="20"/>
                                      <w:szCs w:val="20"/>
                                    </w:rPr>
                                  </w:pPr>
                                  <w:r w:rsidRPr="00855B75">
                                    <w:rPr>
                                      <w:rStyle w:val="Gvdemetni2Kaln"/>
                                      <w:rFonts w:ascii="Arial" w:eastAsiaTheme="minorHAnsi" w:hAnsi="Arial" w:cs="Arial"/>
                                    </w:rPr>
                                    <w:t xml:space="preserve">İhale </w:t>
                                  </w:r>
                                  <w:proofErr w:type="gramStart"/>
                                  <w:r w:rsidRPr="00855B75">
                                    <w:rPr>
                                      <w:rStyle w:val="Gvdemetni2Kaln"/>
                                      <w:rFonts w:ascii="Arial" w:eastAsiaTheme="minorHAnsi" w:hAnsi="Arial" w:cs="Arial"/>
                                    </w:rPr>
                                    <w:t xml:space="preserve">Yeri </w:t>
                                  </w:r>
                                  <w:r w:rsidRPr="00855B75">
                                    <w:rPr>
                                      <w:rFonts w:ascii="Arial" w:hAnsi="Arial" w:cs="Arial"/>
                                      <w:sz w:val="20"/>
                                      <w:szCs w:val="20"/>
                                    </w:rPr>
                                    <w:t>:</w:t>
                                  </w:r>
                                  <w:proofErr w:type="gramEnd"/>
                                  <w:r w:rsidRPr="00855B75">
                                    <w:rPr>
                                      <w:rFonts w:ascii="Arial" w:hAnsi="Arial" w:cs="Arial"/>
                                      <w:sz w:val="20"/>
                                      <w:szCs w:val="20"/>
                                    </w:rPr>
                                    <w:t xml:space="preserve"> </w:t>
                                  </w:r>
                                  <w:r w:rsidRPr="00855B75">
                                    <w:rPr>
                                      <w:rStyle w:val="Gvdemetni2Kaln"/>
                                      <w:rFonts w:ascii="Arial" w:eastAsiaTheme="minorHAnsi" w:hAnsi="Arial" w:cs="Arial"/>
                                    </w:rPr>
                                    <w:t>Çağdaş Otoparkı- Pınarhisar</w:t>
                                  </w:r>
                                </w:p>
                              </w:tc>
                            </w:tr>
                            <w:tr w:rsidR="00147BCE" w:rsidTr="00855B75">
                              <w:tblPrEx>
                                <w:tblCellMar>
                                  <w:top w:w="0" w:type="dxa"/>
                                  <w:bottom w:w="0" w:type="dxa"/>
                                </w:tblCellMar>
                              </w:tblPrEx>
                              <w:trPr>
                                <w:trHeight w:hRule="exact" w:val="566"/>
                                <w:jc w:val="center"/>
                              </w:trPr>
                              <w:tc>
                                <w:tcPr>
                                  <w:tcW w:w="906" w:type="dxa"/>
                                  <w:tcBorders>
                                    <w:top w:val="single" w:sz="4" w:space="0" w:color="auto"/>
                                    <w:lef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No</w:t>
                                  </w:r>
                                </w:p>
                              </w:tc>
                              <w:tc>
                                <w:tcPr>
                                  <w:tcW w:w="1417" w:type="dxa"/>
                                  <w:tcBorders>
                                    <w:top w:val="single" w:sz="4" w:space="0" w:color="auto"/>
                                    <w:left w:val="single" w:sz="4" w:space="0" w:color="auto"/>
                                  </w:tcBorders>
                                  <w:shd w:val="clear" w:color="auto" w:fill="FFFFFF"/>
                                  <w:vAlign w:val="bottom"/>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Takdir Edilen Değeri TL.</w:t>
                                  </w:r>
                                </w:p>
                              </w:tc>
                              <w:tc>
                                <w:tcPr>
                                  <w:tcW w:w="709" w:type="dxa"/>
                                  <w:tcBorders>
                                    <w:top w:val="single" w:sz="4" w:space="0" w:color="auto"/>
                                    <w:lef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Adedi</w:t>
                                  </w:r>
                                </w:p>
                              </w:tc>
                              <w:tc>
                                <w:tcPr>
                                  <w:tcW w:w="992" w:type="dxa"/>
                                  <w:tcBorders>
                                    <w:top w:val="single" w:sz="4" w:space="0" w:color="auto"/>
                                    <w:lef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KDV</w:t>
                                  </w:r>
                                </w:p>
                              </w:tc>
                              <w:tc>
                                <w:tcPr>
                                  <w:tcW w:w="7462" w:type="dxa"/>
                                  <w:tcBorders>
                                    <w:top w:val="single" w:sz="4" w:space="0" w:color="auto"/>
                                    <w:left w:val="single" w:sz="4" w:space="0" w:color="auto"/>
                                    <w:righ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rPr>
                                      <w:rFonts w:ascii="Arial" w:hAnsi="Arial" w:cs="Arial"/>
                                      <w:sz w:val="20"/>
                                      <w:szCs w:val="20"/>
                                    </w:rPr>
                                  </w:pPr>
                                  <w:r w:rsidRPr="00855B75">
                                    <w:rPr>
                                      <w:rStyle w:val="Gvdemetni2Kaln"/>
                                      <w:rFonts w:ascii="Arial" w:eastAsiaTheme="minorHAnsi" w:hAnsi="Arial" w:cs="Arial"/>
                                    </w:rPr>
                                    <w:t>Cinsi (Mahiyeti ve Önemli Nitelikleri)</w:t>
                                  </w:r>
                                </w:p>
                              </w:tc>
                            </w:tr>
                            <w:tr w:rsidR="00147BCE" w:rsidTr="00855B75">
                              <w:tblPrEx>
                                <w:tblCellMar>
                                  <w:top w:w="0" w:type="dxa"/>
                                  <w:bottom w:w="0" w:type="dxa"/>
                                </w:tblCellMar>
                              </w:tblPrEx>
                              <w:trPr>
                                <w:trHeight w:hRule="exact" w:val="2368"/>
                                <w:jc w:val="center"/>
                              </w:trPr>
                              <w:tc>
                                <w:tcPr>
                                  <w:tcW w:w="906"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w:t>
                                  </w:r>
                                </w:p>
                              </w:tc>
                              <w:tc>
                                <w:tcPr>
                                  <w:tcW w:w="1417"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15.300,00</w:t>
                                  </w:r>
                                </w:p>
                              </w:tc>
                              <w:tc>
                                <w:tcPr>
                                  <w:tcW w:w="709"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w:t>
                                  </w:r>
                                </w:p>
                              </w:tc>
                              <w:tc>
                                <w:tcPr>
                                  <w:tcW w:w="992"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%18</w:t>
                                  </w:r>
                                </w:p>
                              </w:tc>
                              <w:tc>
                                <w:tcPr>
                                  <w:tcW w:w="7462" w:type="dxa"/>
                                  <w:tcBorders>
                                    <w:top w:val="single" w:sz="4" w:space="0" w:color="auto"/>
                                    <w:left w:val="single" w:sz="4" w:space="0" w:color="auto"/>
                                    <w:bottom w:val="single" w:sz="4" w:space="0" w:color="auto"/>
                                    <w:right w:val="single" w:sz="4" w:space="0" w:color="auto"/>
                                  </w:tcBorders>
                                  <w:shd w:val="clear" w:color="auto" w:fill="FFFFFF"/>
                                  <w:vAlign w:val="bottom"/>
                                </w:tcPr>
                                <w:p w:rsidR="00147BCE" w:rsidRPr="00855B75" w:rsidRDefault="00147BCE" w:rsidP="00855B75">
                                  <w:pPr>
                                    <w:pStyle w:val="Gvdemetni20"/>
                                    <w:shd w:val="clear" w:color="auto" w:fill="auto"/>
                                    <w:spacing w:after="0" w:line="240" w:lineRule="auto"/>
                                    <w:ind w:firstLine="0"/>
                                    <w:rPr>
                                      <w:rFonts w:ascii="Arial" w:hAnsi="Arial" w:cs="Arial"/>
                                      <w:sz w:val="20"/>
                                      <w:szCs w:val="20"/>
                                    </w:rPr>
                                  </w:pPr>
                                  <w:r w:rsidRPr="00855B75">
                                    <w:rPr>
                                      <w:rFonts w:ascii="Arial" w:hAnsi="Arial" w:cs="Arial"/>
                                      <w:sz w:val="20"/>
                                      <w:szCs w:val="20"/>
                                    </w:rPr>
                                    <w:t xml:space="preserve">39DA327 Plakalı , 2008 Model , HYUNDAI Marka , STAREX 2.5 TCI UZUN KASA Tipli, KMFYKN7HP8U089609 Şasi </w:t>
                                  </w:r>
                                  <w:proofErr w:type="spellStart"/>
                                  <w:r w:rsidRPr="00855B75">
                                    <w:rPr>
                                      <w:rFonts w:ascii="Arial" w:hAnsi="Arial" w:cs="Arial"/>
                                      <w:sz w:val="20"/>
                                      <w:szCs w:val="20"/>
                                    </w:rPr>
                                    <w:t>No'lu</w:t>
                                  </w:r>
                                  <w:proofErr w:type="spellEnd"/>
                                  <w:r w:rsidRPr="00855B75">
                                    <w:rPr>
                                      <w:rFonts w:ascii="Arial" w:hAnsi="Arial" w:cs="Arial"/>
                                      <w:sz w:val="20"/>
                                      <w:szCs w:val="20"/>
                                    </w:rPr>
                                    <w:t xml:space="preserve"> , Yakıt Tipi Dizel, Rengi Beyaz , Araç uzun süredir çalışmadığı için çalıştırılamadı. Aracın kilometresi 71.636 olarak okundu. Plaka ve şasi numarası ile yapılan sorgulamalarında aracın hasar kaydının olmadığı görüldü. Fiziksel kontrollerde ise sol çamurlukta darbe sebebiyle çökme; ön kaputtan başlamak üzere kapılar, ön kabin ve kasa kapaklarında paslanma ve döküntüler; şoför koltuğunun ise delindiği görülmüştür. Sol stop lambasının çatladığı, egzozda </w:t>
                                  </w:r>
                                  <w:proofErr w:type="spellStart"/>
                                  <w:r w:rsidRPr="00855B75">
                                    <w:rPr>
                                      <w:rFonts w:ascii="Arial" w:hAnsi="Arial" w:cs="Arial"/>
                                      <w:sz w:val="20"/>
                                      <w:szCs w:val="20"/>
                                    </w:rPr>
                                    <w:t>çürümele</w:t>
                                  </w:r>
                                  <w:proofErr w:type="spellEnd"/>
                                  <w:r w:rsidRPr="00855B75">
                                    <w:rPr>
                                      <w:rFonts w:ascii="Arial" w:hAnsi="Arial" w:cs="Arial"/>
                                      <w:sz w:val="20"/>
                                      <w:szCs w:val="20"/>
                                    </w:rPr>
                                    <w:t xml:space="preserve"> olduğu ve lastiklerde dişlerin kaybolduğu belirlenmiştir. Aracın motor bölümüne bakıldığında </w:t>
                                  </w:r>
                                  <w:proofErr w:type="spellStart"/>
                                  <w:r w:rsidRPr="00855B75">
                                    <w:rPr>
                                      <w:rFonts w:ascii="Arial" w:hAnsi="Arial" w:cs="Arial"/>
                                      <w:sz w:val="20"/>
                                      <w:szCs w:val="20"/>
                                    </w:rPr>
                                    <w:t>triger</w:t>
                                  </w:r>
                                  <w:proofErr w:type="spellEnd"/>
                                  <w:r w:rsidRPr="00855B75">
                                    <w:rPr>
                                      <w:rFonts w:ascii="Arial" w:hAnsi="Arial" w:cs="Arial"/>
                                      <w:sz w:val="20"/>
                                      <w:szCs w:val="20"/>
                                    </w:rPr>
                                    <w:t xml:space="preserve"> kayışı </w:t>
                                  </w:r>
                                  <w:proofErr w:type="spellStart"/>
                                  <w:r w:rsidRPr="00855B75">
                                    <w:rPr>
                                      <w:rFonts w:ascii="Arial" w:hAnsi="Arial" w:cs="Arial"/>
                                      <w:sz w:val="20"/>
                                      <w:szCs w:val="20"/>
                                    </w:rPr>
                                    <w:t>vcbilyalarının</w:t>
                                  </w:r>
                                  <w:proofErr w:type="spellEnd"/>
                                  <w:r w:rsidRPr="00855B75">
                                    <w:rPr>
                                      <w:rFonts w:ascii="Arial" w:hAnsi="Arial" w:cs="Arial"/>
                                      <w:sz w:val="20"/>
                                      <w:szCs w:val="20"/>
                                    </w:rPr>
                                    <w:t>. akünün, motor bağlantı parçalarının ve filtrelerin yıprandığı veya paslandığı görülmüştür.</w:t>
                                  </w:r>
                                </w:p>
                                <w:p w:rsidR="00147BCE" w:rsidRPr="00855B75" w:rsidRDefault="00147BCE" w:rsidP="00855B75">
                                  <w:pPr>
                                    <w:pStyle w:val="Gvdemetni20"/>
                                    <w:shd w:val="clear" w:color="auto" w:fill="auto"/>
                                    <w:spacing w:after="0" w:line="240" w:lineRule="auto"/>
                                    <w:ind w:firstLine="0"/>
                                    <w:rPr>
                                      <w:rFonts w:ascii="Arial" w:hAnsi="Arial" w:cs="Arial"/>
                                      <w:sz w:val="20"/>
                                      <w:szCs w:val="20"/>
                                    </w:rPr>
                                  </w:pPr>
                                </w:p>
                                <w:p w:rsidR="00147BCE" w:rsidRPr="00855B75" w:rsidRDefault="00147BCE" w:rsidP="00855B75">
                                  <w:pPr>
                                    <w:pStyle w:val="Gvdemetni20"/>
                                    <w:shd w:val="clear" w:color="auto" w:fill="auto"/>
                                    <w:spacing w:after="0" w:line="240" w:lineRule="auto"/>
                                    <w:ind w:firstLine="0"/>
                                    <w:rPr>
                                      <w:rFonts w:ascii="Arial" w:hAnsi="Arial" w:cs="Arial"/>
                                      <w:sz w:val="20"/>
                                      <w:szCs w:val="20"/>
                                    </w:rPr>
                                  </w:pPr>
                                </w:p>
                              </w:tc>
                            </w:tr>
                          </w:tbl>
                          <w:p w:rsidR="00147BCE" w:rsidRDefault="00147BCE" w:rsidP="00147BCE">
                            <w:pPr>
                              <w:pStyle w:val="Gvdemetni21"/>
                              <w:shd w:val="clear" w:color="auto" w:fill="auto"/>
                              <w:spacing w:before="0" w:after="0" w:line="240" w:lineRule="auto"/>
                              <w:ind w:right="1360"/>
                              <w:jc w:val="center"/>
                              <w:rPr>
                                <w:b/>
                                <w:sz w:val="2"/>
                                <w:szCs w:val="2"/>
                              </w:rPr>
                            </w:pPr>
                          </w:p>
                          <w:p w:rsidR="00147BCE" w:rsidRDefault="00147BCE" w:rsidP="00147BCE">
                            <w:pPr>
                              <w:rPr>
                                <w:b/>
                                <w:sz w:val="2"/>
                                <w:szCs w:val="2"/>
                              </w:rPr>
                            </w:pPr>
                          </w:p>
                          <w:p w:rsidR="00147BCE" w:rsidRDefault="00147BCE" w:rsidP="00147BCE">
                            <w:pPr>
                              <w:rPr>
                                <w:b/>
                                <w:sz w:val="2"/>
                                <w:szCs w:val="2"/>
                              </w:rPr>
                            </w:pPr>
                          </w:p>
                          <w:p w:rsidR="00147BCE" w:rsidRPr="00526398" w:rsidRDefault="00147BCE" w:rsidP="00147BCE">
                            <w:pPr>
                              <w:rPr>
                                <w:rFonts w:ascii="Arial" w:hAnsi="Arial" w:cs="Arial"/>
                                <w:sz w:val="20"/>
                                <w:szCs w:val="20"/>
                              </w:rPr>
                            </w:pPr>
                            <w:r w:rsidRPr="00D87615">
                              <w:rPr>
                                <w:b/>
                              </w:rPr>
                              <w:t xml:space="preserve"> (İİK m.114/1,114/3)</w:t>
                            </w:r>
                            <w:r>
                              <w:rPr>
                                <w:b/>
                              </w:rPr>
                              <w:t xml:space="preserve">     </w:t>
                            </w:r>
                            <w:r>
                              <w:rPr>
                                <w:b/>
                              </w:rPr>
                              <w:tab/>
                            </w:r>
                            <w:r>
                              <w:rPr>
                                <w:b/>
                              </w:rPr>
                              <w:tab/>
                            </w:r>
                            <w:r>
                              <w:rPr>
                                <w:b/>
                              </w:rPr>
                              <w:tab/>
                            </w:r>
                            <w:r>
                              <w:rPr>
                                <w:b/>
                              </w:rPr>
                              <w:tab/>
                            </w:r>
                            <w:r>
                              <w:rPr>
                                <w:b/>
                              </w:rPr>
                              <w:tab/>
                              <w:t xml:space="preserve">             </w:t>
                            </w:r>
                            <w:proofErr w:type="gramStart"/>
                            <w:r w:rsidRPr="00526398">
                              <w:rPr>
                                <w:rStyle w:val="normal0"/>
                                <w:b/>
                                <w:sz w:val="20"/>
                                <w:szCs w:val="20"/>
                              </w:rPr>
                              <w:t>B.İ.B.</w:t>
                            </w:r>
                            <w:r>
                              <w:rPr>
                                <w:rStyle w:val="normal0"/>
                                <w:b/>
                                <w:sz w:val="20"/>
                                <w:szCs w:val="20"/>
                              </w:rPr>
                              <w:t>1782</w:t>
                            </w:r>
                            <w:r w:rsidRPr="00526398">
                              <w:rPr>
                                <w:rStyle w:val="normal0"/>
                                <w:b/>
                                <w:sz w:val="20"/>
                                <w:szCs w:val="20"/>
                              </w:rPr>
                              <w:t xml:space="preserve"> -</w:t>
                            </w:r>
                            <w:proofErr w:type="gramEnd"/>
                            <w:r w:rsidRPr="00526398">
                              <w:rPr>
                                <w:rStyle w:val="normal0"/>
                                <w:b/>
                                <w:sz w:val="20"/>
                                <w:szCs w:val="20"/>
                              </w:rPr>
                              <w:t xml:space="preserve"> </w:t>
                            </w:r>
                            <w:r>
                              <w:rPr>
                                <w:rStyle w:val="normal0"/>
                                <w:b/>
                                <w:sz w:val="20"/>
                                <w:szCs w:val="20"/>
                              </w:rPr>
                              <w:t>11.08</w:t>
                            </w:r>
                            <w:r w:rsidRPr="00526398">
                              <w:rPr>
                                <w:rStyle w:val="normal0"/>
                                <w:b/>
                                <w:sz w:val="20"/>
                                <w:szCs w:val="20"/>
                              </w:rPr>
                              <w:t>.201</w:t>
                            </w:r>
                            <w:r>
                              <w:rPr>
                                <w:rStyle w:val="normal0"/>
                                <w:b/>
                                <w:sz w:val="20"/>
                                <w:szCs w:val="20"/>
                              </w:rPr>
                              <w:t>7</w:t>
                            </w:r>
                            <w:r w:rsidRPr="00526398">
                              <w:rPr>
                                <w:rStyle w:val="normal0"/>
                                <w:b/>
                                <w:sz w:val="20"/>
                                <w:szCs w:val="20"/>
                              </w:rPr>
                              <w:t xml:space="preserve">   </w:t>
                            </w:r>
                          </w:p>
                          <w:p w:rsidR="00147BCE" w:rsidRPr="00D87615" w:rsidRDefault="00147BCE" w:rsidP="00147BCE">
                            <w:pPr>
                              <w:pStyle w:val="Gvdemetni21"/>
                              <w:shd w:val="clear" w:color="auto" w:fill="auto"/>
                              <w:spacing w:before="0" w:after="0" w:line="240" w:lineRule="auto"/>
                              <w:ind w:right="1360"/>
                              <w:jc w:val="center"/>
                              <w:rPr>
                                <w:rFonts w:ascii="Arial" w:hAnsi="Arial" w:cs="Arial"/>
                                <w:b/>
                                <w:sz w:val="20"/>
                                <w:szCs w:val="20"/>
                              </w:rPr>
                            </w:pPr>
                          </w:p>
                        </w:txbxContent>
                      </wps:txbx>
                      <wps:bodyPr rot="0" vert="horz" wrap="square" lIns="72000" tIns="0" rIns="72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49.9pt;margin-top:-2.2pt;width:424.55pt;height:5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" filled="f" fillcolor="silver" strokeweight="1pt">
                <v:textbox inset="2mm,0,2mm,1mm">
                  <w:txbxContent>
                    <w:p w:rsidR="00147BCE" w:rsidRDefault="00147BCE" w:rsidP="00147BCE">
                      <w:pPr>
                        <w:ind w:right="62"/>
                        <w:jc w:val="center"/>
                        <w:rPr>
                          <w:rFonts w:ascii="Arial" w:hAnsi="Arial" w:cs="Arial"/>
                          <w:sz w:val="2"/>
                          <w:szCs w:val="2"/>
                        </w:rPr>
                      </w:pPr>
                    </w:p>
                    <w:p w:rsidR="00147BCE" w:rsidRPr="00965784" w:rsidRDefault="00147BCE" w:rsidP="00147BCE">
                      <w:pPr>
                        <w:ind w:right="160"/>
                        <w:jc w:val="center"/>
                        <w:rPr>
                          <w:rFonts w:ascii="Arial" w:hAnsi="Arial" w:cs="Arial"/>
                          <w:b/>
                          <w:sz w:val="20"/>
                          <w:szCs w:val="20"/>
                        </w:rPr>
                      </w:pPr>
                      <w:r w:rsidRPr="00965784">
                        <w:rPr>
                          <w:rFonts w:ascii="Arial" w:hAnsi="Arial" w:cs="Arial"/>
                          <w:b/>
                          <w:sz w:val="20"/>
                          <w:szCs w:val="20"/>
                        </w:rPr>
                        <w:t>T.C.</w:t>
                      </w:r>
                    </w:p>
                    <w:p w:rsidR="00147BCE" w:rsidRPr="00965784" w:rsidRDefault="00147BCE" w:rsidP="00147BCE">
                      <w:pPr>
                        <w:spacing w:after="0" w:line="240" w:lineRule="auto"/>
                        <w:ind w:right="159"/>
                        <w:jc w:val="center"/>
                        <w:rPr>
                          <w:rFonts w:ascii="Arial" w:hAnsi="Arial" w:cs="Arial"/>
                          <w:b/>
                          <w:sz w:val="20"/>
                          <w:szCs w:val="20"/>
                        </w:rPr>
                      </w:pPr>
                      <w:bookmarkStart w:id="1" w:name="_GoBack"/>
                      <w:r>
                        <w:rPr>
                          <w:rFonts w:ascii="Arial" w:hAnsi="Arial" w:cs="Arial"/>
                          <w:b/>
                          <w:sz w:val="20"/>
                          <w:szCs w:val="20"/>
                        </w:rPr>
                        <w:t>PINARHİSAR</w:t>
                      </w:r>
                    </w:p>
                    <w:p w:rsidR="00147BCE" w:rsidRDefault="00147BCE" w:rsidP="00147BCE">
                      <w:pPr>
                        <w:spacing w:after="0" w:line="240" w:lineRule="auto"/>
                        <w:ind w:right="159"/>
                        <w:jc w:val="center"/>
                        <w:rPr>
                          <w:rFonts w:ascii="Arial" w:hAnsi="Arial" w:cs="Arial"/>
                          <w:b/>
                          <w:sz w:val="20"/>
                          <w:szCs w:val="20"/>
                        </w:rPr>
                      </w:pPr>
                      <w:r>
                        <w:rPr>
                          <w:rFonts w:ascii="Arial" w:hAnsi="Arial" w:cs="Arial"/>
                          <w:b/>
                          <w:sz w:val="20"/>
                          <w:szCs w:val="20"/>
                        </w:rPr>
                        <w:t>İCRA DAİRESİ</w:t>
                      </w:r>
                    </w:p>
                    <w:p w:rsidR="00147BCE" w:rsidRDefault="00147BCE" w:rsidP="00147BCE">
                      <w:pPr>
                        <w:spacing w:after="0" w:line="240" w:lineRule="auto"/>
                        <w:ind w:right="159"/>
                        <w:jc w:val="center"/>
                        <w:rPr>
                          <w:rFonts w:ascii="Arial" w:hAnsi="Arial" w:cs="Arial"/>
                          <w:b/>
                          <w:sz w:val="20"/>
                          <w:szCs w:val="20"/>
                        </w:rPr>
                      </w:pPr>
                      <w:r w:rsidRPr="00965784">
                        <w:rPr>
                          <w:rFonts w:ascii="Arial" w:hAnsi="Arial" w:cs="Arial"/>
                          <w:b/>
                          <w:sz w:val="20"/>
                          <w:szCs w:val="20"/>
                        </w:rPr>
                        <w:t>201</w:t>
                      </w:r>
                      <w:r>
                        <w:rPr>
                          <w:rFonts w:ascii="Arial" w:hAnsi="Arial" w:cs="Arial"/>
                          <w:b/>
                          <w:sz w:val="20"/>
                          <w:szCs w:val="20"/>
                        </w:rPr>
                        <w:t>7/26 TLMT.</w:t>
                      </w:r>
                    </w:p>
                    <w:bookmarkEnd w:id="1"/>
                    <w:p w:rsidR="00147BCE" w:rsidRPr="00D87615" w:rsidRDefault="00147BCE" w:rsidP="00147BCE">
                      <w:pPr>
                        <w:ind w:right="160"/>
                        <w:jc w:val="center"/>
                        <w:rPr>
                          <w:rFonts w:ascii="Arial" w:hAnsi="Arial" w:cs="Arial"/>
                          <w:sz w:val="44"/>
                          <w:szCs w:val="44"/>
                        </w:rPr>
                      </w:pPr>
                      <w:r w:rsidRPr="00D87615">
                        <w:rPr>
                          <w:rFonts w:ascii="Arial" w:hAnsi="Arial" w:cs="Arial"/>
                          <w:sz w:val="44"/>
                          <w:szCs w:val="44"/>
                        </w:rPr>
                        <w:t>TAŞINIRIN AÇIK ARTIRMA İLANI</w:t>
                      </w:r>
                    </w:p>
                    <w:p w:rsidR="00147BCE" w:rsidRPr="00D9043A" w:rsidRDefault="00147BCE" w:rsidP="00147BCE">
                      <w:pPr>
                        <w:pStyle w:val="Gvdemetni20"/>
                        <w:shd w:val="clear" w:color="auto" w:fill="auto"/>
                        <w:spacing w:after="0" w:line="240" w:lineRule="auto"/>
                        <w:ind w:firstLine="822"/>
                        <w:rPr>
                          <w:rFonts w:ascii="Arial" w:hAnsi="Arial" w:cs="Arial"/>
                          <w:sz w:val="20"/>
                          <w:szCs w:val="20"/>
                        </w:rPr>
                      </w:pPr>
                      <w:r w:rsidRPr="00D9043A">
                        <w:rPr>
                          <w:rFonts w:ascii="Arial" w:hAnsi="Arial" w:cs="Arial"/>
                          <w:color w:val="000000"/>
                          <w:sz w:val="20"/>
                          <w:szCs w:val="20"/>
                          <w:lang w:eastAsia="tr-TR" w:bidi="tr-TR"/>
                        </w:rPr>
                        <w:t>Aşağıda cins, miktar ve değerleri yazılı mallar satışa çıkarılmış olup:</w:t>
                      </w:r>
                    </w:p>
                    <w:p w:rsidR="00147BCE" w:rsidRPr="00D9043A" w:rsidRDefault="00147BCE" w:rsidP="00147BCE">
                      <w:pPr>
                        <w:pStyle w:val="Gvdemetni20"/>
                        <w:shd w:val="clear" w:color="auto" w:fill="auto"/>
                        <w:spacing w:after="0" w:line="240" w:lineRule="auto"/>
                        <w:ind w:firstLine="822"/>
                        <w:rPr>
                          <w:rFonts w:ascii="Arial" w:hAnsi="Arial" w:cs="Arial"/>
                          <w:sz w:val="20"/>
                          <w:szCs w:val="20"/>
                        </w:rPr>
                      </w:pPr>
                      <w:r w:rsidRPr="00D9043A">
                        <w:rPr>
                          <w:rFonts w:ascii="Arial" w:hAnsi="Arial" w:cs="Arial"/>
                          <w:color w:val="000000"/>
                          <w:sz w:val="20"/>
                          <w:szCs w:val="20"/>
                          <w:lang w:eastAsia="tr-TR" w:bidi="tr-TR"/>
                        </w:rPr>
                        <w:t xml:space="preserve">Birinci artırmanın aşağıda belirtilen gün, saat ve yerde yapılacağı ve o gün kıymetlerinin %50'sine istekli bulunmadığı taktirde, yine aşağıda belirtilen gün, saat ve aynı yerde 2. artırmanın yapılarak satılacağı; şu kadar ki, artırma bedelinin malın tahmin edilen değerinin %50'sini bulmasının ve satış isteyenin alacağına rüçhanı olan alacakların toplamından fazla olmasının ve bundan başka paraya çevirme ve payların paylaştırma giderlerini geçmesinin şart olduğu; birinci artırmadan on gün önce başlamak üzere artırma tarihinden önceki gün sonuna kadar </w:t>
                      </w:r>
                      <w:r w:rsidRPr="00D9043A">
                        <w:rPr>
                          <w:rStyle w:val="Gvdemetni2Kaln"/>
                          <w:rFonts w:ascii="Arial" w:eastAsiaTheme="minorHAnsi" w:hAnsi="Arial" w:cs="Arial"/>
                        </w:rPr>
                        <w:t xml:space="preserve">esatis.uyap.gov.tr </w:t>
                      </w:r>
                      <w:r w:rsidRPr="00D9043A">
                        <w:rPr>
                          <w:rFonts w:ascii="Arial" w:hAnsi="Arial" w:cs="Arial"/>
                          <w:color w:val="000000"/>
                          <w:sz w:val="20"/>
                          <w:szCs w:val="20"/>
                          <w:lang w:eastAsia="tr-TR" w:bidi="tr-TR"/>
                        </w:rPr>
                        <w:t>adresinden elektronik ortamda teklif verilebileceği, birinci artırmada istekli bulunmadığı takdirde elektronik ortamda birinci artırmadan sonraki beşinci günden başlamak üzere ikinci artırma gününden önceki gün sonuna kadar elektronik ortamda teklif verilebileceği, mahcuzun satış bedeli üzerinden aşağıda belirtilen oranda KDV.'</w:t>
                      </w:r>
                      <w:proofErr w:type="spellStart"/>
                      <w:r w:rsidRPr="00D9043A">
                        <w:rPr>
                          <w:rFonts w:ascii="Arial" w:hAnsi="Arial" w:cs="Arial"/>
                          <w:color w:val="000000"/>
                          <w:sz w:val="20"/>
                          <w:szCs w:val="20"/>
                          <w:lang w:eastAsia="tr-TR" w:bidi="tr-TR"/>
                        </w:rPr>
                        <w:t>nin</w:t>
                      </w:r>
                      <w:proofErr w:type="spellEnd"/>
                      <w:r w:rsidRPr="00D9043A">
                        <w:rPr>
                          <w:rFonts w:ascii="Arial" w:hAnsi="Arial" w:cs="Arial"/>
                          <w:color w:val="000000"/>
                          <w:sz w:val="20"/>
                          <w:szCs w:val="20"/>
                          <w:lang w:eastAsia="tr-TR" w:bidi="tr-TR"/>
                        </w:rPr>
                        <w:t xml:space="preserve"> alıcıya ait olacağı ve satış şartnamesinin icra dosyasından görülebileceği; gideri verildiği takdirde şartnamenin bir örneğinin isteyene gönderilebileceği; fazla bilgi almak isteyenlerin yukarıda yazılı dosya numarasıyla dairemize başvurmaları ilan olunur. 08/08/2017</w:t>
                      </w:r>
                    </w:p>
                    <w:p w:rsidR="00147BCE" w:rsidRDefault="00147BCE" w:rsidP="00147BCE">
                      <w:pPr>
                        <w:pStyle w:val="Gvdemetni21"/>
                        <w:shd w:val="clear" w:color="auto" w:fill="auto"/>
                        <w:spacing w:before="0" w:after="0" w:line="240" w:lineRule="auto"/>
                        <w:ind w:right="1360"/>
                        <w:jc w:val="center"/>
                        <w:rPr>
                          <w:b/>
                          <w:sz w:val="2"/>
                          <w:szCs w:val="2"/>
                        </w:rPr>
                      </w:pPr>
                      <w:r w:rsidRPr="00C03BEE">
                        <w:rPr>
                          <w:rFonts w:ascii="Arial" w:hAnsi="Arial" w:cs="Arial"/>
                          <w:sz w:val="20"/>
                          <w:szCs w:val="20"/>
                        </w:rPr>
                        <w:tab/>
                      </w:r>
                      <w:r w:rsidRPr="00C03BEE">
                        <w:rPr>
                          <w:rFonts w:ascii="Arial" w:hAnsi="Arial" w:cs="Arial"/>
                          <w:sz w:val="20"/>
                          <w:szCs w:val="20"/>
                        </w:rPr>
                        <w:tab/>
                      </w:r>
                      <w:r w:rsidRPr="00C03BEE">
                        <w:rPr>
                          <w:rFonts w:ascii="Arial" w:hAnsi="Arial" w:cs="Arial"/>
                          <w:sz w:val="20"/>
                          <w:szCs w:val="20"/>
                        </w:rPr>
                        <w:tab/>
                      </w:r>
                      <w:r w:rsidRPr="00C03BEE">
                        <w:rPr>
                          <w:rFonts w:ascii="Arial" w:hAnsi="Arial" w:cs="Arial"/>
                          <w:sz w:val="20"/>
                          <w:szCs w:val="20"/>
                        </w:rPr>
                        <w:tab/>
                      </w:r>
                      <w:r w:rsidRPr="00C03BE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Celil BİRCAN</w:t>
                      </w:r>
                      <w:r w:rsidRPr="00D87615">
                        <w:rPr>
                          <w:rFonts w:ascii="Arial" w:hAnsi="Arial" w:cs="Arial"/>
                          <w:sz w:val="20"/>
                          <w:szCs w:val="20"/>
                        </w:rPr>
                        <w:br/>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İcra Müdürü</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110410</w:t>
                      </w:r>
                    </w:p>
                    <w:tbl>
                      <w:tblPr>
                        <w:tblOverlap w:val="never"/>
                        <w:tblW w:w="11486" w:type="dxa"/>
                        <w:jc w:val="center"/>
                        <w:tblLayout w:type="fixed"/>
                        <w:tblCellMar>
                          <w:left w:w="10" w:type="dxa"/>
                          <w:right w:w="10" w:type="dxa"/>
                        </w:tblCellMar>
                        <w:tblLook w:val="04A0" w:firstRow="1" w:lastRow="0" w:firstColumn="1" w:lastColumn="0" w:noHBand="0" w:noVBand="1"/>
                      </w:tblPr>
                      <w:tblGrid>
                        <w:gridCol w:w="906"/>
                        <w:gridCol w:w="1417"/>
                        <w:gridCol w:w="709"/>
                        <w:gridCol w:w="992"/>
                        <w:gridCol w:w="7462"/>
                      </w:tblGrid>
                      <w:tr w:rsidR="00147BCE" w:rsidTr="004F5D8D">
                        <w:tblPrEx>
                          <w:tblCellMar>
                            <w:top w:w="0" w:type="dxa"/>
                            <w:bottom w:w="0" w:type="dxa"/>
                          </w:tblCellMar>
                        </w:tblPrEx>
                        <w:trPr>
                          <w:trHeight w:hRule="exact" w:val="736"/>
                          <w:jc w:val="center"/>
                        </w:trPr>
                        <w:tc>
                          <w:tcPr>
                            <w:tcW w:w="11486" w:type="dxa"/>
                            <w:gridSpan w:val="5"/>
                            <w:tcBorders>
                              <w:top w:val="single" w:sz="4" w:space="0" w:color="auto"/>
                              <w:left w:val="single" w:sz="4" w:space="0" w:color="auto"/>
                              <w:right w:val="single" w:sz="4" w:space="0" w:color="auto"/>
                            </w:tcBorders>
                            <w:shd w:val="clear" w:color="auto" w:fill="FFFFFF"/>
                            <w:vAlign w:val="bottom"/>
                          </w:tcPr>
                          <w:p w:rsidR="00147BCE" w:rsidRPr="00855B75" w:rsidRDefault="00147BCE" w:rsidP="004F5D8D">
                            <w:pPr>
                              <w:pStyle w:val="Gvdemetni20"/>
                              <w:shd w:val="clear" w:color="auto" w:fill="auto"/>
                              <w:tabs>
                                <w:tab w:val="left" w:pos="134"/>
                              </w:tabs>
                              <w:spacing w:after="0" w:line="240" w:lineRule="auto"/>
                              <w:ind w:firstLine="0"/>
                              <w:rPr>
                                <w:rFonts w:ascii="Arial" w:hAnsi="Arial" w:cs="Arial"/>
                                <w:sz w:val="20"/>
                                <w:szCs w:val="20"/>
                              </w:rPr>
                            </w:pPr>
                            <w:r w:rsidRPr="00855B75">
                              <w:rPr>
                                <w:rStyle w:val="Gvdemetni2Kaln"/>
                                <w:rFonts w:ascii="Arial" w:eastAsiaTheme="minorHAnsi" w:hAnsi="Arial" w:cs="Arial"/>
                              </w:rPr>
                              <w:t xml:space="preserve">1-İhale </w:t>
                            </w:r>
                            <w:proofErr w:type="gramStart"/>
                            <w:r w:rsidRPr="00855B75">
                              <w:rPr>
                                <w:rStyle w:val="Gvdemetni2Kaln"/>
                                <w:rFonts w:ascii="Arial" w:eastAsiaTheme="minorHAnsi" w:hAnsi="Arial" w:cs="Arial"/>
                              </w:rPr>
                              <w:t xml:space="preserve">Tarihi </w:t>
                            </w:r>
                            <w:r w:rsidRPr="00855B75">
                              <w:rPr>
                                <w:rFonts w:ascii="Arial" w:hAnsi="Arial" w:cs="Arial"/>
                                <w:sz w:val="20"/>
                                <w:szCs w:val="20"/>
                              </w:rPr>
                              <w:t>:</w:t>
                            </w:r>
                            <w:proofErr w:type="gramEnd"/>
                            <w:r w:rsidRPr="00855B75">
                              <w:rPr>
                                <w:rFonts w:ascii="Arial" w:hAnsi="Arial" w:cs="Arial"/>
                                <w:sz w:val="20"/>
                                <w:szCs w:val="20"/>
                              </w:rPr>
                              <w:t xml:space="preserve"> </w:t>
                            </w:r>
                            <w:r w:rsidRPr="00855B75">
                              <w:rPr>
                                <w:rStyle w:val="Gvdemetni2Kaln"/>
                                <w:rFonts w:ascii="Arial" w:eastAsiaTheme="minorHAnsi" w:hAnsi="Arial" w:cs="Arial"/>
                              </w:rPr>
                              <w:t xml:space="preserve">07/09/2017 günü, saat 11:00 </w:t>
                            </w:r>
                            <w:r w:rsidRPr="00855B75">
                              <w:rPr>
                                <w:rFonts w:ascii="Arial" w:hAnsi="Arial" w:cs="Arial"/>
                                <w:sz w:val="20"/>
                                <w:szCs w:val="20"/>
                              </w:rPr>
                              <w:t xml:space="preserve">- </w:t>
                            </w:r>
                            <w:r w:rsidRPr="00855B75">
                              <w:rPr>
                                <w:rStyle w:val="Gvdemetni2Kaln"/>
                                <w:rFonts w:ascii="Arial" w:eastAsiaTheme="minorHAnsi" w:hAnsi="Arial" w:cs="Arial"/>
                              </w:rPr>
                              <w:t>11:05 arası.</w:t>
                            </w:r>
                          </w:p>
                          <w:p w:rsidR="00147BCE" w:rsidRPr="00855B75" w:rsidRDefault="00147BCE" w:rsidP="004F5D8D">
                            <w:pPr>
                              <w:pStyle w:val="Gvdemetni20"/>
                              <w:widowControl w:val="0"/>
                              <w:shd w:val="clear" w:color="auto" w:fill="auto"/>
                              <w:tabs>
                                <w:tab w:val="left" w:pos="149"/>
                              </w:tabs>
                              <w:spacing w:after="0" w:line="240" w:lineRule="auto"/>
                              <w:ind w:firstLine="0"/>
                              <w:rPr>
                                <w:rStyle w:val="Gvdemetni2Kaln"/>
                                <w:rFonts w:ascii="Arial" w:eastAsiaTheme="minorHAnsi" w:hAnsi="Arial" w:cs="Arial"/>
                                <w:b w:val="0"/>
                                <w:bCs w:val="0"/>
                              </w:rPr>
                            </w:pPr>
                            <w:r>
                              <w:rPr>
                                <w:rStyle w:val="Gvdemetni2Kaln"/>
                                <w:rFonts w:ascii="Arial" w:eastAsiaTheme="minorHAnsi" w:hAnsi="Arial" w:cs="Arial"/>
                              </w:rPr>
                              <w:t>2-</w:t>
                            </w:r>
                            <w:r w:rsidRPr="00855B75">
                              <w:rPr>
                                <w:rStyle w:val="Gvdemetni2Kaln"/>
                                <w:rFonts w:ascii="Arial" w:eastAsiaTheme="minorHAnsi" w:hAnsi="Arial" w:cs="Arial"/>
                              </w:rPr>
                              <w:t xml:space="preserve">İhale </w:t>
                            </w:r>
                            <w:proofErr w:type="gramStart"/>
                            <w:r w:rsidRPr="00855B75">
                              <w:rPr>
                                <w:rStyle w:val="Gvdemetni2Kaln"/>
                                <w:rFonts w:ascii="Arial" w:eastAsiaTheme="minorHAnsi" w:hAnsi="Arial" w:cs="Arial"/>
                              </w:rPr>
                              <w:t xml:space="preserve">Tarihi </w:t>
                            </w:r>
                            <w:r w:rsidRPr="00855B75">
                              <w:rPr>
                                <w:rFonts w:ascii="Arial" w:hAnsi="Arial" w:cs="Arial"/>
                                <w:sz w:val="20"/>
                                <w:szCs w:val="20"/>
                              </w:rPr>
                              <w:t>:</w:t>
                            </w:r>
                            <w:proofErr w:type="gramEnd"/>
                            <w:r w:rsidRPr="00855B75">
                              <w:rPr>
                                <w:rFonts w:ascii="Arial" w:hAnsi="Arial" w:cs="Arial"/>
                                <w:sz w:val="20"/>
                                <w:szCs w:val="20"/>
                              </w:rPr>
                              <w:t xml:space="preserve"> </w:t>
                            </w:r>
                            <w:r w:rsidRPr="00855B75">
                              <w:rPr>
                                <w:rStyle w:val="Gvdemetni2Kaln"/>
                                <w:rFonts w:ascii="Arial" w:eastAsiaTheme="minorHAnsi" w:hAnsi="Arial" w:cs="Arial"/>
                              </w:rPr>
                              <w:t>26/09/2017 günü, saat 11:00 - 11:05 arası.</w:t>
                            </w:r>
                          </w:p>
                          <w:p w:rsidR="00147BCE" w:rsidRPr="00855B75" w:rsidRDefault="00147BCE" w:rsidP="004F5D8D">
                            <w:pPr>
                              <w:pStyle w:val="Gvdemetni20"/>
                              <w:widowControl w:val="0"/>
                              <w:shd w:val="clear" w:color="auto" w:fill="auto"/>
                              <w:tabs>
                                <w:tab w:val="left" w:pos="149"/>
                              </w:tabs>
                              <w:spacing w:after="0" w:line="240" w:lineRule="auto"/>
                              <w:ind w:firstLine="0"/>
                              <w:rPr>
                                <w:rFonts w:ascii="Arial" w:hAnsi="Arial" w:cs="Arial"/>
                                <w:sz w:val="20"/>
                                <w:szCs w:val="20"/>
                              </w:rPr>
                            </w:pPr>
                            <w:r w:rsidRPr="00855B75">
                              <w:rPr>
                                <w:rStyle w:val="Gvdemetni2Kaln"/>
                                <w:rFonts w:ascii="Arial" w:eastAsiaTheme="minorHAnsi" w:hAnsi="Arial" w:cs="Arial"/>
                              </w:rPr>
                              <w:t xml:space="preserve">İhale </w:t>
                            </w:r>
                            <w:proofErr w:type="gramStart"/>
                            <w:r w:rsidRPr="00855B75">
                              <w:rPr>
                                <w:rStyle w:val="Gvdemetni2Kaln"/>
                                <w:rFonts w:ascii="Arial" w:eastAsiaTheme="minorHAnsi" w:hAnsi="Arial" w:cs="Arial"/>
                              </w:rPr>
                              <w:t xml:space="preserve">Yeri </w:t>
                            </w:r>
                            <w:r w:rsidRPr="00855B75">
                              <w:rPr>
                                <w:rFonts w:ascii="Arial" w:hAnsi="Arial" w:cs="Arial"/>
                                <w:sz w:val="20"/>
                                <w:szCs w:val="20"/>
                              </w:rPr>
                              <w:t>:</w:t>
                            </w:r>
                            <w:proofErr w:type="gramEnd"/>
                            <w:r w:rsidRPr="00855B75">
                              <w:rPr>
                                <w:rFonts w:ascii="Arial" w:hAnsi="Arial" w:cs="Arial"/>
                                <w:sz w:val="20"/>
                                <w:szCs w:val="20"/>
                              </w:rPr>
                              <w:t xml:space="preserve"> </w:t>
                            </w:r>
                            <w:r w:rsidRPr="00855B75">
                              <w:rPr>
                                <w:rStyle w:val="Gvdemetni2Kaln"/>
                                <w:rFonts w:ascii="Arial" w:eastAsiaTheme="minorHAnsi" w:hAnsi="Arial" w:cs="Arial"/>
                              </w:rPr>
                              <w:t>Çağdaş Otoparkı- Pınarhisar</w:t>
                            </w:r>
                          </w:p>
                        </w:tc>
                      </w:tr>
                      <w:tr w:rsidR="00147BCE" w:rsidTr="00855B75">
                        <w:tblPrEx>
                          <w:tblCellMar>
                            <w:top w:w="0" w:type="dxa"/>
                            <w:bottom w:w="0" w:type="dxa"/>
                          </w:tblCellMar>
                        </w:tblPrEx>
                        <w:trPr>
                          <w:trHeight w:hRule="exact" w:val="566"/>
                          <w:jc w:val="center"/>
                        </w:trPr>
                        <w:tc>
                          <w:tcPr>
                            <w:tcW w:w="906" w:type="dxa"/>
                            <w:tcBorders>
                              <w:top w:val="single" w:sz="4" w:space="0" w:color="auto"/>
                              <w:lef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No</w:t>
                            </w:r>
                          </w:p>
                        </w:tc>
                        <w:tc>
                          <w:tcPr>
                            <w:tcW w:w="1417" w:type="dxa"/>
                            <w:tcBorders>
                              <w:top w:val="single" w:sz="4" w:space="0" w:color="auto"/>
                              <w:left w:val="single" w:sz="4" w:space="0" w:color="auto"/>
                            </w:tcBorders>
                            <w:shd w:val="clear" w:color="auto" w:fill="FFFFFF"/>
                            <w:vAlign w:val="bottom"/>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Takdir Edilen Değeri TL.</w:t>
                            </w:r>
                          </w:p>
                        </w:tc>
                        <w:tc>
                          <w:tcPr>
                            <w:tcW w:w="709" w:type="dxa"/>
                            <w:tcBorders>
                              <w:top w:val="single" w:sz="4" w:space="0" w:color="auto"/>
                              <w:lef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Adedi</w:t>
                            </w:r>
                          </w:p>
                        </w:tc>
                        <w:tc>
                          <w:tcPr>
                            <w:tcW w:w="992" w:type="dxa"/>
                            <w:tcBorders>
                              <w:top w:val="single" w:sz="4" w:space="0" w:color="auto"/>
                              <w:lef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Style w:val="Gvdemetni2Kaln"/>
                                <w:rFonts w:ascii="Arial" w:eastAsiaTheme="minorHAnsi" w:hAnsi="Arial" w:cs="Arial"/>
                              </w:rPr>
                              <w:t>KDV</w:t>
                            </w:r>
                          </w:p>
                        </w:tc>
                        <w:tc>
                          <w:tcPr>
                            <w:tcW w:w="7462" w:type="dxa"/>
                            <w:tcBorders>
                              <w:top w:val="single" w:sz="4" w:space="0" w:color="auto"/>
                              <w:left w:val="single" w:sz="4" w:space="0" w:color="auto"/>
                              <w:right w:val="single" w:sz="4" w:space="0" w:color="auto"/>
                            </w:tcBorders>
                            <w:shd w:val="clear" w:color="auto" w:fill="FFFFFF"/>
                            <w:vAlign w:val="center"/>
                          </w:tcPr>
                          <w:p w:rsidR="00147BCE" w:rsidRPr="00855B75" w:rsidRDefault="00147BCE" w:rsidP="00855B75">
                            <w:pPr>
                              <w:pStyle w:val="Gvdemetni20"/>
                              <w:shd w:val="clear" w:color="auto" w:fill="auto"/>
                              <w:spacing w:after="0" w:line="240" w:lineRule="auto"/>
                              <w:ind w:firstLine="0"/>
                              <w:rPr>
                                <w:rFonts w:ascii="Arial" w:hAnsi="Arial" w:cs="Arial"/>
                                <w:sz w:val="20"/>
                                <w:szCs w:val="20"/>
                              </w:rPr>
                            </w:pPr>
                            <w:r w:rsidRPr="00855B75">
                              <w:rPr>
                                <w:rStyle w:val="Gvdemetni2Kaln"/>
                                <w:rFonts w:ascii="Arial" w:eastAsiaTheme="minorHAnsi" w:hAnsi="Arial" w:cs="Arial"/>
                              </w:rPr>
                              <w:t>Cinsi (Mahiyeti ve Önemli Nitelikleri)</w:t>
                            </w:r>
                          </w:p>
                        </w:tc>
                      </w:tr>
                      <w:tr w:rsidR="00147BCE" w:rsidTr="00855B75">
                        <w:tblPrEx>
                          <w:tblCellMar>
                            <w:top w:w="0" w:type="dxa"/>
                            <w:bottom w:w="0" w:type="dxa"/>
                          </w:tblCellMar>
                        </w:tblPrEx>
                        <w:trPr>
                          <w:trHeight w:hRule="exact" w:val="2368"/>
                          <w:jc w:val="center"/>
                        </w:trPr>
                        <w:tc>
                          <w:tcPr>
                            <w:tcW w:w="906"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w:t>
                            </w:r>
                          </w:p>
                        </w:tc>
                        <w:tc>
                          <w:tcPr>
                            <w:tcW w:w="1417"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15.300,00</w:t>
                            </w:r>
                          </w:p>
                        </w:tc>
                        <w:tc>
                          <w:tcPr>
                            <w:tcW w:w="709"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w:t>
                            </w:r>
                          </w:p>
                        </w:tc>
                        <w:tc>
                          <w:tcPr>
                            <w:tcW w:w="992" w:type="dxa"/>
                            <w:tcBorders>
                              <w:top w:val="single" w:sz="4" w:space="0" w:color="auto"/>
                              <w:left w:val="single" w:sz="4" w:space="0" w:color="auto"/>
                              <w:bottom w:val="single" w:sz="4" w:space="0" w:color="auto"/>
                            </w:tcBorders>
                            <w:shd w:val="clear" w:color="auto" w:fill="FFFFFF"/>
                          </w:tcPr>
                          <w:p w:rsidR="00147BCE" w:rsidRPr="00855B75" w:rsidRDefault="00147BCE" w:rsidP="00855B75">
                            <w:pPr>
                              <w:pStyle w:val="Gvdemetni20"/>
                              <w:shd w:val="clear" w:color="auto" w:fill="auto"/>
                              <w:spacing w:after="0" w:line="240" w:lineRule="auto"/>
                              <w:ind w:firstLine="0"/>
                              <w:jc w:val="center"/>
                              <w:rPr>
                                <w:rFonts w:ascii="Arial" w:hAnsi="Arial" w:cs="Arial"/>
                                <w:sz w:val="20"/>
                                <w:szCs w:val="20"/>
                              </w:rPr>
                            </w:pPr>
                            <w:r w:rsidRPr="00855B75">
                              <w:rPr>
                                <w:rFonts w:ascii="Arial" w:hAnsi="Arial" w:cs="Arial"/>
                                <w:sz w:val="20"/>
                                <w:szCs w:val="20"/>
                              </w:rPr>
                              <w:t>%18</w:t>
                            </w:r>
                          </w:p>
                        </w:tc>
                        <w:tc>
                          <w:tcPr>
                            <w:tcW w:w="7462" w:type="dxa"/>
                            <w:tcBorders>
                              <w:top w:val="single" w:sz="4" w:space="0" w:color="auto"/>
                              <w:left w:val="single" w:sz="4" w:space="0" w:color="auto"/>
                              <w:bottom w:val="single" w:sz="4" w:space="0" w:color="auto"/>
                              <w:right w:val="single" w:sz="4" w:space="0" w:color="auto"/>
                            </w:tcBorders>
                            <w:shd w:val="clear" w:color="auto" w:fill="FFFFFF"/>
                            <w:vAlign w:val="bottom"/>
                          </w:tcPr>
                          <w:p w:rsidR="00147BCE" w:rsidRPr="00855B75" w:rsidRDefault="00147BCE" w:rsidP="00855B75">
                            <w:pPr>
                              <w:pStyle w:val="Gvdemetni20"/>
                              <w:shd w:val="clear" w:color="auto" w:fill="auto"/>
                              <w:spacing w:after="0" w:line="240" w:lineRule="auto"/>
                              <w:ind w:firstLine="0"/>
                              <w:rPr>
                                <w:rFonts w:ascii="Arial" w:hAnsi="Arial" w:cs="Arial"/>
                                <w:sz w:val="20"/>
                                <w:szCs w:val="20"/>
                              </w:rPr>
                            </w:pPr>
                            <w:r w:rsidRPr="00855B75">
                              <w:rPr>
                                <w:rFonts w:ascii="Arial" w:hAnsi="Arial" w:cs="Arial"/>
                                <w:sz w:val="20"/>
                                <w:szCs w:val="20"/>
                              </w:rPr>
                              <w:t xml:space="preserve">39DA327 Plakalı , 2008 Model , HYUNDAI Marka , STAREX 2.5 TCI UZUN KASA Tipli, KMFYKN7HP8U089609 Şasi </w:t>
                            </w:r>
                            <w:proofErr w:type="spellStart"/>
                            <w:r w:rsidRPr="00855B75">
                              <w:rPr>
                                <w:rFonts w:ascii="Arial" w:hAnsi="Arial" w:cs="Arial"/>
                                <w:sz w:val="20"/>
                                <w:szCs w:val="20"/>
                              </w:rPr>
                              <w:t>No'lu</w:t>
                            </w:r>
                            <w:proofErr w:type="spellEnd"/>
                            <w:r w:rsidRPr="00855B75">
                              <w:rPr>
                                <w:rFonts w:ascii="Arial" w:hAnsi="Arial" w:cs="Arial"/>
                                <w:sz w:val="20"/>
                                <w:szCs w:val="20"/>
                              </w:rPr>
                              <w:t xml:space="preserve"> , Yakıt Tipi Dizel, Rengi Beyaz , Araç uzun süredir çalışmadığı için çalıştırılamadı. Aracın kilometresi 71.636 olarak okundu. Plaka ve şasi numarası ile yapılan sorgulamalarında aracın hasar kaydının olmadığı görüldü. Fiziksel kontrollerde ise sol çamurlukta darbe sebebiyle çökme; ön kaputtan başlamak üzere kapılar, ön kabin ve kasa kapaklarında paslanma ve döküntüler; şoför koltuğunun ise delindiği görülmüştür. Sol stop lambasının çatladığı, egzozda </w:t>
                            </w:r>
                            <w:proofErr w:type="spellStart"/>
                            <w:r w:rsidRPr="00855B75">
                              <w:rPr>
                                <w:rFonts w:ascii="Arial" w:hAnsi="Arial" w:cs="Arial"/>
                                <w:sz w:val="20"/>
                                <w:szCs w:val="20"/>
                              </w:rPr>
                              <w:t>çürümele</w:t>
                            </w:r>
                            <w:proofErr w:type="spellEnd"/>
                            <w:r w:rsidRPr="00855B75">
                              <w:rPr>
                                <w:rFonts w:ascii="Arial" w:hAnsi="Arial" w:cs="Arial"/>
                                <w:sz w:val="20"/>
                                <w:szCs w:val="20"/>
                              </w:rPr>
                              <w:t xml:space="preserve"> olduğu ve lastiklerde dişlerin kaybolduğu belirlenmiştir. Aracın motor bölümüne bakıldığında </w:t>
                            </w:r>
                            <w:proofErr w:type="spellStart"/>
                            <w:r w:rsidRPr="00855B75">
                              <w:rPr>
                                <w:rFonts w:ascii="Arial" w:hAnsi="Arial" w:cs="Arial"/>
                                <w:sz w:val="20"/>
                                <w:szCs w:val="20"/>
                              </w:rPr>
                              <w:t>triger</w:t>
                            </w:r>
                            <w:proofErr w:type="spellEnd"/>
                            <w:r w:rsidRPr="00855B75">
                              <w:rPr>
                                <w:rFonts w:ascii="Arial" w:hAnsi="Arial" w:cs="Arial"/>
                                <w:sz w:val="20"/>
                                <w:szCs w:val="20"/>
                              </w:rPr>
                              <w:t xml:space="preserve"> kayışı </w:t>
                            </w:r>
                            <w:proofErr w:type="spellStart"/>
                            <w:r w:rsidRPr="00855B75">
                              <w:rPr>
                                <w:rFonts w:ascii="Arial" w:hAnsi="Arial" w:cs="Arial"/>
                                <w:sz w:val="20"/>
                                <w:szCs w:val="20"/>
                              </w:rPr>
                              <w:t>vcbilyalarının</w:t>
                            </w:r>
                            <w:proofErr w:type="spellEnd"/>
                            <w:r w:rsidRPr="00855B75">
                              <w:rPr>
                                <w:rFonts w:ascii="Arial" w:hAnsi="Arial" w:cs="Arial"/>
                                <w:sz w:val="20"/>
                                <w:szCs w:val="20"/>
                              </w:rPr>
                              <w:t>. akünün, motor bağlantı parçalarının ve filtrelerin yıprandığı veya paslandığı görülmüştür.</w:t>
                            </w:r>
                          </w:p>
                          <w:p w:rsidR="00147BCE" w:rsidRPr="00855B75" w:rsidRDefault="00147BCE" w:rsidP="00855B75">
                            <w:pPr>
                              <w:pStyle w:val="Gvdemetni20"/>
                              <w:shd w:val="clear" w:color="auto" w:fill="auto"/>
                              <w:spacing w:after="0" w:line="240" w:lineRule="auto"/>
                              <w:ind w:firstLine="0"/>
                              <w:rPr>
                                <w:rFonts w:ascii="Arial" w:hAnsi="Arial" w:cs="Arial"/>
                                <w:sz w:val="20"/>
                                <w:szCs w:val="20"/>
                              </w:rPr>
                            </w:pPr>
                          </w:p>
                          <w:p w:rsidR="00147BCE" w:rsidRPr="00855B75" w:rsidRDefault="00147BCE" w:rsidP="00855B75">
                            <w:pPr>
                              <w:pStyle w:val="Gvdemetni20"/>
                              <w:shd w:val="clear" w:color="auto" w:fill="auto"/>
                              <w:spacing w:after="0" w:line="240" w:lineRule="auto"/>
                              <w:ind w:firstLine="0"/>
                              <w:rPr>
                                <w:rFonts w:ascii="Arial" w:hAnsi="Arial" w:cs="Arial"/>
                                <w:sz w:val="20"/>
                                <w:szCs w:val="20"/>
                              </w:rPr>
                            </w:pPr>
                          </w:p>
                        </w:tc>
                      </w:tr>
                    </w:tbl>
                    <w:p w:rsidR="00147BCE" w:rsidRDefault="00147BCE" w:rsidP="00147BCE">
                      <w:pPr>
                        <w:pStyle w:val="Gvdemetni21"/>
                        <w:shd w:val="clear" w:color="auto" w:fill="auto"/>
                        <w:spacing w:before="0" w:after="0" w:line="240" w:lineRule="auto"/>
                        <w:ind w:right="1360"/>
                        <w:jc w:val="center"/>
                        <w:rPr>
                          <w:b/>
                          <w:sz w:val="2"/>
                          <w:szCs w:val="2"/>
                        </w:rPr>
                      </w:pPr>
                    </w:p>
                    <w:p w:rsidR="00147BCE" w:rsidRDefault="00147BCE" w:rsidP="00147BCE">
                      <w:pPr>
                        <w:rPr>
                          <w:b/>
                          <w:sz w:val="2"/>
                          <w:szCs w:val="2"/>
                        </w:rPr>
                      </w:pPr>
                    </w:p>
                    <w:p w:rsidR="00147BCE" w:rsidRDefault="00147BCE" w:rsidP="00147BCE">
                      <w:pPr>
                        <w:rPr>
                          <w:b/>
                          <w:sz w:val="2"/>
                          <w:szCs w:val="2"/>
                        </w:rPr>
                      </w:pPr>
                    </w:p>
                    <w:p w:rsidR="00147BCE" w:rsidRPr="00526398" w:rsidRDefault="00147BCE" w:rsidP="00147BCE">
                      <w:pPr>
                        <w:rPr>
                          <w:rFonts w:ascii="Arial" w:hAnsi="Arial" w:cs="Arial"/>
                          <w:sz w:val="20"/>
                          <w:szCs w:val="20"/>
                        </w:rPr>
                      </w:pPr>
                      <w:r w:rsidRPr="00D87615">
                        <w:rPr>
                          <w:b/>
                        </w:rPr>
                        <w:t xml:space="preserve"> (İİK m.114/1,114/3)</w:t>
                      </w:r>
                      <w:r>
                        <w:rPr>
                          <w:b/>
                        </w:rPr>
                        <w:t xml:space="preserve">     </w:t>
                      </w:r>
                      <w:r>
                        <w:rPr>
                          <w:b/>
                        </w:rPr>
                        <w:tab/>
                      </w:r>
                      <w:r>
                        <w:rPr>
                          <w:b/>
                        </w:rPr>
                        <w:tab/>
                      </w:r>
                      <w:r>
                        <w:rPr>
                          <w:b/>
                        </w:rPr>
                        <w:tab/>
                      </w:r>
                      <w:r>
                        <w:rPr>
                          <w:b/>
                        </w:rPr>
                        <w:tab/>
                      </w:r>
                      <w:r>
                        <w:rPr>
                          <w:b/>
                        </w:rPr>
                        <w:tab/>
                        <w:t xml:space="preserve">             </w:t>
                      </w:r>
                      <w:proofErr w:type="gramStart"/>
                      <w:r w:rsidRPr="00526398">
                        <w:rPr>
                          <w:rStyle w:val="normal0"/>
                          <w:b/>
                          <w:sz w:val="20"/>
                          <w:szCs w:val="20"/>
                        </w:rPr>
                        <w:t>B.İ.B.</w:t>
                      </w:r>
                      <w:r>
                        <w:rPr>
                          <w:rStyle w:val="normal0"/>
                          <w:b/>
                          <w:sz w:val="20"/>
                          <w:szCs w:val="20"/>
                        </w:rPr>
                        <w:t>1782</w:t>
                      </w:r>
                      <w:r w:rsidRPr="00526398">
                        <w:rPr>
                          <w:rStyle w:val="normal0"/>
                          <w:b/>
                          <w:sz w:val="20"/>
                          <w:szCs w:val="20"/>
                        </w:rPr>
                        <w:t xml:space="preserve"> -</w:t>
                      </w:r>
                      <w:proofErr w:type="gramEnd"/>
                      <w:r w:rsidRPr="00526398">
                        <w:rPr>
                          <w:rStyle w:val="normal0"/>
                          <w:b/>
                          <w:sz w:val="20"/>
                          <w:szCs w:val="20"/>
                        </w:rPr>
                        <w:t xml:space="preserve"> </w:t>
                      </w:r>
                      <w:r>
                        <w:rPr>
                          <w:rStyle w:val="normal0"/>
                          <w:b/>
                          <w:sz w:val="20"/>
                          <w:szCs w:val="20"/>
                        </w:rPr>
                        <w:t>11.08</w:t>
                      </w:r>
                      <w:r w:rsidRPr="00526398">
                        <w:rPr>
                          <w:rStyle w:val="normal0"/>
                          <w:b/>
                          <w:sz w:val="20"/>
                          <w:szCs w:val="20"/>
                        </w:rPr>
                        <w:t>.201</w:t>
                      </w:r>
                      <w:r>
                        <w:rPr>
                          <w:rStyle w:val="normal0"/>
                          <w:b/>
                          <w:sz w:val="20"/>
                          <w:szCs w:val="20"/>
                        </w:rPr>
                        <w:t>7</w:t>
                      </w:r>
                      <w:r w:rsidRPr="00526398">
                        <w:rPr>
                          <w:rStyle w:val="normal0"/>
                          <w:b/>
                          <w:sz w:val="20"/>
                          <w:szCs w:val="20"/>
                        </w:rPr>
                        <w:t xml:space="preserve">   </w:t>
                      </w:r>
                    </w:p>
                    <w:p w:rsidR="00147BCE" w:rsidRPr="00D87615" w:rsidRDefault="00147BCE" w:rsidP="00147BCE">
                      <w:pPr>
                        <w:pStyle w:val="Gvdemetni21"/>
                        <w:shd w:val="clear" w:color="auto" w:fill="auto"/>
                        <w:spacing w:before="0" w:after="0" w:line="240" w:lineRule="auto"/>
                        <w:ind w:right="1360"/>
                        <w:jc w:val="center"/>
                        <w:rPr>
                          <w:rFonts w:ascii="Arial" w:hAnsi="Arial" w:cs="Arial"/>
                          <w:b/>
                          <w:sz w:val="20"/>
                          <w:szCs w:val="20"/>
                        </w:rPr>
                      </w:pPr>
                    </w:p>
                  </w:txbxContent>
                </v:textbox>
              </v:shape>
            </w:pict>
          </mc:Fallback>
        </mc:AlternateContent>
      </w:r>
    </w:p>
    <w:sectPr w:rsidR="0089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BCE"/>
    <w:rsid w:val="00147BCE"/>
    <w:rsid w:val="00891AC1"/>
    <w:rsid w:val="00F41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36D89-EAC1-4351-A1CA-F92B41BF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0">
    <w:name w:val="normal"/>
    <w:rsid w:val="00147BCE"/>
    <w:rPr>
      <w:rFonts w:ascii="Arial" w:hAnsi="Arial" w:cs="Arial" w:hint="default"/>
      <w:b w:val="0"/>
      <w:bCs w:val="0"/>
      <w:i w:val="0"/>
      <w:iCs w:val="0"/>
      <w:sz w:val="18"/>
      <w:szCs w:val="18"/>
    </w:rPr>
  </w:style>
  <w:style w:type="character" w:customStyle="1" w:styleId="Gvdemetni2">
    <w:name w:val="Gövde metni (2)_"/>
    <w:link w:val="Gvdemetni20"/>
    <w:locked/>
    <w:rsid w:val="00147BCE"/>
    <w:rPr>
      <w:rFonts w:ascii="Tahoma" w:hAnsi="Tahoma"/>
      <w:sz w:val="17"/>
      <w:szCs w:val="17"/>
      <w:shd w:val="clear" w:color="auto" w:fill="FFFFFF"/>
    </w:rPr>
  </w:style>
  <w:style w:type="paragraph" w:customStyle="1" w:styleId="Gvdemetni20">
    <w:name w:val="Gövde metni (2)"/>
    <w:basedOn w:val="Normal"/>
    <w:link w:val="Gvdemetni2"/>
    <w:rsid w:val="00147BCE"/>
    <w:pPr>
      <w:shd w:val="clear" w:color="auto" w:fill="FFFFFF"/>
      <w:spacing w:after="240" w:line="221" w:lineRule="exact"/>
      <w:ind w:firstLine="820"/>
      <w:jc w:val="both"/>
    </w:pPr>
    <w:rPr>
      <w:rFonts w:ascii="Tahoma" w:hAnsi="Tahoma"/>
      <w:sz w:val="17"/>
      <w:szCs w:val="17"/>
    </w:rPr>
  </w:style>
  <w:style w:type="character" w:customStyle="1" w:styleId="Gvdemetni2Kaln">
    <w:name w:val="Gövde metni (2) + Kalın"/>
    <w:rsid w:val="00147BCE"/>
    <w:rPr>
      <w:rFonts w:ascii="Segoe UI" w:eastAsia="Times New Roman" w:hAnsi="Segoe UI" w:cs="Segoe UI"/>
      <w:b/>
      <w:bCs/>
      <w:color w:val="000000"/>
      <w:spacing w:val="0"/>
      <w:w w:val="100"/>
      <w:position w:val="0"/>
      <w:sz w:val="20"/>
      <w:szCs w:val="20"/>
      <w:u w:val="none"/>
      <w:lang w:val="tr-TR" w:eastAsia="tr-TR" w:bidi="ar-SA"/>
    </w:rPr>
  </w:style>
  <w:style w:type="paragraph" w:customStyle="1" w:styleId="Gvdemetni21">
    <w:name w:val="Gövde metni (2)1"/>
    <w:basedOn w:val="Normal"/>
    <w:rsid w:val="00147BCE"/>
    <w:pPr>
      <w:widowControl w:val="0"/>
      <w:shd w:val="clear" w:color="auto" w:fill="FFFFFF"/>
      <w:spacing w:before="420" w:after="420" w:line="240" w:lineRule="atLeast"/>
      <w:jc w:val="both"/>
    </w:pPr>
    <w:rPr>
      <w:rFonts w:ascii="Times New Roman" w:eastAsia="Arial Unicode MS" w:hAnsi="Times New Roman" w:cs="Times New Roman"/>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2017-08-12T12:08:00Z</dcterms:created>
  <dcterms:modified xsi:type="dcterms:W3CDTF">2017-08-12T12:09:00Z</dcterms:modified>
</cp:coreProperties>
</file>