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E5" w:rsidRPr="00E511E5" w:rsidRDefault="00E511E5" w:rsidP="00E511E5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T.C. PINARHİSAR ASLİYE HUKUK MAHKEMESİNDEN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 xml:space="preserve">ESAS </w:t>
      </w:r>
      <w:proofErr w:type="gramStart"/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NO :</w:t>
      </w:r>
      <w:proofErr w:type="gramEnd"/>
      <w:r w:rsidRPr="00E511E5">
        <w:rPr>
          <w:rFonts w:ascii="Arial" w:hAnsi="Arial" w:cs="Arial"/>
        </w:rPr>
        <w:t> </w:t>
      </w:r>
      <w:bookmarkStart w:id="0" w:name="_GoBack"/>
      <w:r w:rsidRPr="00E511E5">
        <w:rPr>
          <w:rFonts w:ascii="Arial" w:hAnsi="Arial" w:cs="Arial"/>
        </w:rPr>
        <w:t>2017/66 Esas</w:t>
      </w:r>
      <w:bookmarkEnd w:id="0"/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KAMULAŞTIRMA İLANI</w:t>
      </w:r>
    </w:p>
    <w:p w:rsidR="00E511E5" w:rsidRPr="00E511E5" w:rsidRDefault="00E511E5" w:rsidP="00E511E5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KAMULAŞTIRILAN TAŞINMAZIN BULUNDUĞU YER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t> Kırklareli ili, Pınarhisar ilçesi, Akören köyü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MEVKİİ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t> Çakıllık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PAFTA NO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ADA NO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t> 101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PARSEL NO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t> 208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VASFI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t> Tarla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YÜZÖLÇÜMÜ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t> 5.750,00m2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MALİKİN ADI VE SOYADI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t xml:space="preserve"> 1-Ayşe </w:t>
      </w:r>
      <w:proofErr w:type="spellStart"/>
      <w:r w:rsidRPr="00E511E5">
        <w:rPr>
          <w:rFonts w:ascii="Arial" w:hAnsi="Arial" w:cs="Arial"/>
        </w:rPr>
        <w:t>Çavaş</w:t>
      </w:r>
      <w:proofErr w:type="spellEnd"/>
      <w:r w:rsidRPr="00E511E5">
        <w:rPr>
          <w:rFonts w:ascii="Arial" w:hAnsi="Arial" w:cs="Arial"/>
        </w:rPr>
        <w:t xml:space="preserve">, Nihat </w:t>
      </w:r>
      <w:proofErr w:type="spellStart"/>
      <w:r w:rsidRPr="00E511E5">
        <w:rPr>
          <w:rFonts w:ascii="Arial" w:hAnsi="Arial" w:cs="Arial"/>
        </w:rPr>
        <w:t>Çavaş</w:t>
      </w:r>
      <w:proofErr w:type="spellEnd"/>
      <w:r w:rsidRPr="00E511E5">
        <w:rPr>
          <w:rFonts w:ascii="Arial" w:hAnsi="Arial" w:cs="Arial"/>
        </w:rPr>
        <w:t xml:space="preserve">, </w:t>
      </w:r>
      <w:proofErr w:type="spellStart"/>
      <w:r w:rsidRPr="00E511E5">
        <w:rPr>
          <w:rFonts w:ascii="Arial" w:hAnsi="Arial" w:cs="Arial"/>
        </w:rPr>
        <w:t>Zeyniye</w:t>
      </w:r>
      <w:proofErr w:type="spellEnd"/>
      <w:r w:rsidRPr="00E511E5">
        <w:rPr>
          <w:rFonts w:ascii="Arial" w:hAnsi="Arial" w:cs="Arial"/>
        </w:rPr>
        <w:t xml:space="preserve"> </w:t>
      </w:r>
      <w:proofErr w:type="spellStart"/>
      <w:r w:rsidRPr="00E511E5">
        <w:rPr>
          <w:rFonts w:ascii="Arial" w:hAnsi="Arial" w:cs="Arial"/>
        </w:rPr>
        <w:t>Çavaş</w:t>
      </w:r>
      <w:proofErr w:type="spellEnd"/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KAMULAŞTIRMAYI YAPAN İDARENİN ADI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t> DSİ Genel Müdürlüğü</w:t>
      </w:r>
      <w:r w:rsidRPr="00E511E5">
        <w:rPr>
          <w:rFonts w:ascii="Arial" w:hAnsi="Arial" w:cs="Arial"/>
        </w:rPr>
        <w:br/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KAMULAŞTIRMANIN VE BELGELERİN ÖZETİ</w:t>
      </w:r>
      <w:r w:rsidRPr="00E511E5">
        <w:rPr>
          <w:rFonts w:ascii="Arial" w:hAnsi="Arial" w:cs="Arial"/>
        </w:rPr>
        <w:t> </w:t>
      </w:r>
      <w:r w:rsidRPr="00E511E5">
        <w:rPr>
          <w:rStyle w:val="Gl"/>
          <w:rFonts w:ascii="GN-Medium" w:hAnsi="GN-Medium" w:cs="Arial"/>
          <w:b w:val="0"/>
          <w:bCs w:val="0"/>
          <w:bdr w:val="none" w:sz="0" w:space="0" w:color="auto" w:frame="1"/>
        </w:rPr>
        <w:t>:</w:t>
      </w:r>
      <w:r w:rsidRPr="00E511E5">
        <w:rPr>
          <w:rFonts w:ascii="Arial" w:hAnsi="Arial" w:cs="Arial"/>
        </w:rPr>
        <w:br/>
        <w:t>Kamulaştırmayı yapan davacı idare, malikleriyle cinsi ve niteliği yukarıda yazılı taşınmazın kamulaştırma bedelinin tespiti ve tescili için davacı idare tarafından mahkememizin 2017/66 Esas sayısında dava açılmıştır.</w:t>
      </w:r>
      <w:r w:rsidRPr="00E511E5">
        <w:rPr>
          <w:rFonts w:ascii="Arial" w:hAnsi="Arial" w:cs="Arial"/>
        </w:rPr>
        <w:br/>
        <w:t>Mahkememizce tespit edilecek kamulaştırma bedelinin T.C. Ziraat Bankası Pınarhisar Şube Müdürlüğüne yatırılacağı, davanın duruşmasının Pınarhisar Asliye Hukuk Mahkemesi Duruşma Salonu'nda 24/08/2017 günü saat: 10.10 'da yapılacağı 4650 Sayılı Kanun ile değişik 2942 Sayılı Kamulaştırma Kanununun 10/4. maddesi gereğince ilan olunur.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F2"/>
    <w:rsid w:val="00891AC1"/>
    <w:rsid w:val="00E511E5"/>
    <w:rsid w:val="00F41D4B"/>
    <w:rsid w:val="00F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E387-90F4-4C2A-9AE0-9559F9F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2017-08-12T13:12:00Z</dcterms:created>
  <dcterms:modified xsi:type="dcterms:W3CDTF">2017-08-12T13:12:00Z</dcterms:modified>
</cp:coreProperties>
</file>